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322E" w14:textId="0E153009" w:rsidR="002B092F" w:rsidRDefault="002B092F">
      <w:pPr>
        <w:rPr>
          <w:color w:val="222222"/>
          <w:highlight w:val="white"/>
        </w:rPr>
      </w:pPr>
    </w:p>
    <w:p w14:paraId="57E30279" w14:textId="77777777" w:rsidR="002B092F" w:rsidRDefault="002B092F">
      <w:pPr>
        <w:rPr>
          <w:color w:val="222222"/>
          <w:highlight w:val="white"/>
        </w:rPr>
      </w:pPr>
    </w:p>
    <w:p w14:paraId="3AE2CE39" w14:textId="05E8FC64" w:rsidR="002B092F" w:rsidRDefault="00033987">
      <w:pPr>
        <w:rPr>
          <w:color w:val="222222"/>
          <w:highlight w:val="white"/>
        </w:rPr>
      </w:pPr>
      <w:r w:rsidRPr="00033987">
        <w:rPr>
          <w:noProof/>
          <w:color w:val="222222"/>
        </w:rPr>
        <w:drawing>
          <wp:anchor distT="0" distB="0" distL="114300" distR="114300" simplePos="0" relativeHeight="251658240" behindDoc="0" locked="0" layoutInCell="1" allowOverlap="1" wp14:anchorId="4F764A40" wp14:editId="0FC27122">
            <wp:simplePos x="0" y="0"/>
            <wp:positionH relativeFrom="margin">
              <wp:posOffset>847725</wp:posOffset>
            </wp:positionH>
            <wp:positionV relativeFrom="paragraph">
              <wp:posOffset>7620</wp:posOffset>
            </wp:positionV>
            <wp:extent cx="3867150" cy="1152525"/>
            <wp:effectExtent l="0" t="0" r="0" b="9525"/>
            <wp:wrapThrough wrapText="bothSides">
              <wp:wrapPolygon edited="0">
                <wp:start x="0" y="0"/>
                <wp:lineTo x="0" y="21421"/>
                <wp:lineTo x="21494" y="21421"/>
                <wp:lineTo x="21494" y="0"/>
                <wp:lineTo x="0" y="0"/>
              </wp:wrapPolygon>
            </wp:wrapThrough>
            <wp:docPr id="2022502794"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02794" name="Picture 1" descr="A green and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715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E3A9F" w14:textId="6F17FA44" w:rsidR="002B092F" w:rsidRDefault="002B092F">
      <w:pPr>
        <w:rPr>
          <w:color w:val="222222"/>
          <w:highlight w:val="white"/>
        </w:rPr>
      </w:pPr>
    </w:p>
    <w:p w14:paraId="7EEBBE66" w14:textId="77777777" w:rsidR="002B092F" w:rsidRDefault="002B092F">
      <w:pPr>
        <w:rPr>
          <w:color w:val="222222"/>
          <w:highlight w:val="white"/>
        </w:rPr>
      </w:pPr>
    </w:p>
    <w:p w14:paraId="34F44AB0" w14:textId="77777777" w:rsidR="002B092F" w:rsidRDefault="002B092F">
      <w:pPr>
        <w:rPr>
          <w:color w:val="222222"/>
          <w:highlight w:val="white"/>
        </w:rPr>
      </w:pPr>
    </w:p>
    <w:p w14:paraId="1AE210B1" w14:textId="77777777" w:rsidR="002B092F" w:rsidRDefault="002B092F">
      <w:pPr>
        <w:rPr>
          <w:color w:val="222222"/>
          <w:highlight w:val="white"/>
        </w:rPr>
      </w:pPr>
    </w:p>
    <w:p w14:paraId="3A17208B" w14:textId="77777777" w:rsidR="00033987" w:rsidRDefault="00DE69A7">
      <w:pPr>
        <w:spacing w:line="240" w:lineRule="auto"/>
        <w:ind w:left="-425"/>
        <w:jc w:val="center"/>
        <w:rPr>
          <w:b/>
          <w:sz w:val="36"/>
          <w:szCs w:val="36"/>
        </w:rPr>
      </w:pPr>
      <w:r>
        <w:rPr>
          <w:b/>
          <w:sz w:val="36"/>
          <w:szCs w:val="36"/>
        </w:rPr>
        <w:t xml:space="preserve">   </w:t>
      </w:r>
    </w:p>
    <w:p w14:paraId="0411D501" w14:textId="77777777" w:rsidR="00033987" w:rsidRDefault="00033987">
      <w:pPr>
        <w:spacing w:line="240" w:lineRule="auto"/>
        <w:ind w:left="-425"/>
        <w:jc w:val="center"/>
        <w:rPr>
          <w:b/>
          <w:sz w:val="36"/>
          <w:szCs w:val="36"/>
        </w:rPr>
      </w:pPr>
    </w:p>
    <w:p w14:paraId="6DA7061A" w14:textId="2448487E" w:rsidR="002B092F" w:rsidRPr="00DE69A7" w:rsidRDefault="00DE69A7">
      <w:pPr>
        <w:spacing w:line="240" w:lineRule="auto"/>
        <w:ind w:left="-425"/>
        <w:jc w:val="center"/>
        <w:rPr>
          <w:rFonts w:ascii="Century Gothic" w:hAnsi="Century Gothic"/>
          <w:color w:val="222222"/>
          <w:sz w:val="20"/>
          <w:szCs w:val="20"/>
          <w:highlight w:val="white"/>
        </w:rPr>
      </w:pPr>
      <w:r w:rsidRPr="00DE69A7">
        <w:rPr>
          <w:rFonts w:ascii="Century Gothic" w:hAnsi="Century Gothic"/>
          <w:b/>
          <w:sz w:val="32"/>
          <w:szCs w:val="32"/>
        </w:rPr>
        <w:t>Appropriate Body Part-Time ECT Policy</w:t>
      </w:r>
    </w:p>
    <w:p w14:paraId="3BA20F4D" w14:textId="77777777" w:rsidR="002B092F" w:rsidRPr="00DE69A7" w:rsidRDefault="002B092F">
      <w:pPr>
        <w:rPr>
          <w:rFonts w:ascii="Century Gothic" w:hAnsi="Century Gothic"/>
          <w:color w:val="222222"/>
          <w:sz w:val="20"/>
          <w:szCs w:val="20"/>
          <w:highlight w:val="white"/>
        </w:rPr>
      </w:pPr>
    </w:p>
    <w:p w14:paraId="5331E08D" w14:textId="77777777" w:rsidR="002B092F" w:rsidRPr="00DE69A7" w:rsidRDefault="002B092F">
      <w:pPr>
        <w:rPr>
          <w:rFonts w:ascii="Century Gothic" w:hAnsi="Century Gothic"/>
          <w:color w:val="222222"/>
          <w:sz w:val="20"/>
          <w:szCs w:val="20"/>
          <w:highlight w:val="white"/>
        </w:rPr>
      </w:pPr>
    </w:p>
    <w:p w14:paraId="3B806A6C" w14:textId="77777777" w:rsidR="002B092F" w:rsidRPr="00DE69A7" w:rsidRDefault="00DE69A7">
      <w:pPr>
        <w:jc w:val="both"/>
        <w:rPr>
          <w:rFonts w:ascii="Century Gothic" w:hAnsi="Century Gothic"/>
          <w:color w:val="222222"/>
        </w:rPr>
      </w:pPr>
      <w:r w:rsidRPr="00DE69A7">
        <w:rPr>
          <w:rFonts w:ascii="Century Gothic" w:hAnsi="Century Gothic"/>
          <w:color w:val="222222"/>
        </w:rPr>
        <w:t xml:space="preserve">A part-time ECT will need to serve the full time equivalent (FTE) of two full school years. For example, an ECT working part-time on a 0.5 FTE will need to serve induction for four school years. </w:t>
      </w:r>
    </w:p>
    <w:p w14:paraId="487F8BF9" w14:textId="77777777" w:rsidR="002B092F" w:rsidRPr="00DE69A7" w:rsidRDefault="002B092F">
      <w:pPr>
        <w:jc w:val="both"/>
        <w:rPr>
          <w:rFonts w:ascii="Century Gothic" w:hAnsi="Century Gothic"/>
          <w:color w:val="222222"/>
        </w:rPr>
      </w:pPr>
    </w:p>
    <w:p w14:paraId="6029A805" w14:textId="77777777" w:rsidR="002B092F" w:rsidRPr="00DE69A7" w:rsidRDefault="00DE69A7">
      <w:pPr>
        <w:jc w:val="both"/>
        <w:rPr>
          <w:rFonts w:ascii="Century Gothic" w:hAnsi="Century Gothic"/>
          <w:b/>
          <w:color w:val="222222"/>
        </w:rPr>
      </w:pPr>
      <w:r w:rsidRPr="00DE69A7">
        <w:rPr>
          <w:rFonts w:ascii="Century Gothic" w:hAnsi="Century Gothic"/>
          <w:b/>
          <w:color w:val="222222"/>
        </w:rPr>
        <w:t>Progress Reviews and Formal Assessments</w:t>
      </w:r>
    </w:p>
    <w:p w14:paraId="391FBC7B" w14:textId="77777777" w:rsidR="002B092F" w:rsidRPr="00DE69A7" w:rsidRDefault="00DE69A7">
      <w:pPr>
        <w:jc w:val="both"/>
        <w:rPr>
          <w:rFonts w:ascii="Century Gothic" w:hAnsi="Century Gothic"/>
          <w:color w:val="222222"/>
        </w:rPr>
      </w:pPr>
      <w:r w:rsidRPr="00DE69A7">
        <w:rPr>
          <w:rFonts w:ascii="Century Gothic" w:hAnsi="Century Gothic"/>
          <w:color w:val="222222"/>
        </w:rPr>
        <w:t>Progress Reviews must be completed termly for part-time ECTs regardless of FTE, with Formal Assessments completed on a pro-rata basis according to FTE.</w:t>
      </w:r>
    </w:p>
    <w:p w14:paraId="118E8D68" w14:textId="77777777" w:rsidR="002B092F" w:rsidRPr="00DE69A7" w:rsidRDefault="002B092F">
      <w:pPr>
        <w:jc w:val="both"/>
        <w:rPr>
          <w:rFonts w:ascii="Century Gothic" w:hAnsi="Century Gothic"/>
          <w:color w:val="222222"/>
        </w:rPr>
      </w:pPr>
    </w:p>
    <w:p w14:paraId="24D396A4" w14:textId="77777777" w:rsidR="002B092F" w:rsidRPr="00DE69A7" w:rsidRDefault="00DE69A7">
      <w:pPr>
        <w:jc w:val="both"/>
        <w:rPr>
          <w:rFonts w:ascii="Century Gothic" w:hAnsi="Century Gothic"/>
          <w:b/>
          <w:color w:val="222222"/>
        </w:rPr>
      </w:pPr>
      <w:r w:rsidRPr="00DE69A7">
        <w:rPr>
          <w:rFonts w:ascii="Century Gothic" w:hAnsi="Century Gothic"/>
          <w:b/>
          <w:color w:val="222222"/>
        </w:rPr>
        <w:t>Early Career Framework</w:t>
      </w:r>
    </w:p>
    <w:p w14:paraId="6446CC78" w14:textId="77777777" w:rsidR="002B092F" w:rsidRPr="00DE69A7" w:rsidRDefault="00DE69A7">
      <w:pPr>
        <w:jc w:val="both"/>
        <w:rPr>
          <w:rFonts w:ascii="Century Gothic" w:hAnsi="Century Gothic"/>
          <w:color w:val="222222"/>
          <w:sz w:val="24"/>
          <w:szCs w:val="24"/>
        </w:rPr>
      </w:pPr>
      <w:r w:rsidRPr="00DE69A7">
        <w:rPr>
          <w:rFonts w:ascii="Century Gothic" w:hAnsi="Century Gothic"/>
          <w:color w:val="222222"/>
          <w:highlight w:val="white"/>
        </w:rPr>
        <w:t xml:space="preserve">Best Practice Network has created an ECF 'Non-Standard ECT' </w:t>
      </w:r>
      <w:hyperlink r:id="rId6">
        <w:r w:rsidRPr="00DE69A7">
          <w:rPr>
            <w:rFonts w:ascii="Century Gothic" w:hAnsi="Century Gothic"/>
            <w:color w:val="1155CC"/>
            <w:highlight w:val="white"/>
            <w:u w:val="single"/>
          </w:rPr>
          <w:t>policy</w:t>
        </w:r>
      </w:hyperlink>
      <w:r w:rsidRPr="00DE69A7">
        <w:rPr>
          <w:rFonts w:ascii="Century Gothic" w:hAnsi="Century Gothic"/>
          <w:color w:val="222222"/>
          <w:highlight w:val="white"/>
        </w:rPr>
        <w:t xml:space="preserve"> which outlines the approach to the ECF that part-time ECTs and their mentors should take if they are completing their ECF training programme through Best Practice Network.</w:t>
      </w:r>
    </w:p>
    <w:p w14:paraId="0B1F0EF5" w14:textId="77777777" w:rsidR="002B092F" w:rsidRPr="00DE69A7" w:rsidRDefault="002B092F">
      <w:pPr>
        <w:jc w:val="both"/>
        <w:rPr>
          <w:rFonts w:ascii="Century Gothic" w:hAnsi="Century Gothic"/>
          <w:color w:val="222222"/>
        </w:rPr>
      </w:pPr>
    </w:p>
    <w:p w14:paraId="418D8E0B" w14:textId="77777777" w:rsidR="002B092F" w:rsidRPr="00DE69A7" w:rsidRDefault="00DE69A7">
      <w:pPr>
        <w:jc w:val="both"/>
        <w:rPr>
          <w:rFonts w:ascii="Century Gothic" w:hAnsi="Century Gothic"/>
          <w:b/>
          <w:color w:val="222222"/>
        </w:rPr>
      </w:pPr>
      <w:r w:rsidRPr="00DE69A7">
        <w:rPr>
          <w:rFonts w:ascii="Century Gothic" w:hAnsi="Century Gothic"/>
          <w:b/>
          <w:color w:val="222222"/>
        </w:rPr>
        <w:t>Reducing Induction</w:t>
      </w:r>
    </w:p>
    <w:p w14:paraId="6E8F08F2" w14:textId="586C4D74" w:rsidR="002B092F" w:rsidRPr="00DE69A7" w:rsidRDefault="00DE69A7">
      <w:pPr>
        <w:jc w:val="both"/>
        <w:rPr>
          <w:rFonts w:ascii="Century Gothic" w:hAnsi="Century Gothic"/>
          <w:color w:val="222222"/>
          <w:highlight w:val="white"/>
        </w:rPr>
      </w:pPr>
      <w:r w:rsidRPr="00DE69A7">
        <w:rPr>
          <w:rFonts w:ascii="Century Gothic" w:hAnsi="Century Gothic"/>
          <w:color w:val="222222"/>
        </w:rPr>
        <w:t xml:space="preserve">In cases where part-time ECTs have completed a period covering but not equivalent to two full school years and can demonstrate that they meet the Teachers’ Standards they may be able to have their induction period reduced. </w:t>
      </w:r>
      <w:r w:rsidRPr="00DE69A7">
        <w:rPr>
          <w:rFonts w:ascii="Century Gothic" w:hAnsi="Century Gothic"/>
          <w:color w:val="222222"/>
          <w:highlight w:val="white"/>
        </w:rPr>
        <w:t xml:space="preserve">Appropriate Bodies </w:t>
      </w:r>
      <w:proofErr w:type="gramStart"/>
      <w:r w:rsidRPr="00DE69A7">
        <w:rPr>
          <w:rFonts w:ascii="Century Gothic" w:hAnsi="Century Gothic"/>
          <w:color w:val="222222"/>
          <w:highlight w:val="white"/>
        </w:rPr>
        <w:t>have the ability to</w:t>
      </w:r>
      <w:proofErr w:type="gramEnd"/>
      <w:r w:rsidRPr="00DE69A7">
        <w:rPr>
          <w:rFonts w:ascii="Century Gothic" w:hAnsi="Century Gothic"/>
          <w:color w:val="222222"/>
          <w:highlight w:val="white"/>
        </w:rPr>
        <w:t xml:space="preserve"> reduce the induction period for ECTs who are completing induction on a part-time basis. For example, an ECT starting induction in September 2021 and working 0.5FTE would ordinarily be expected to complete a four-year induction finishing in summer 2025 but can be considered for a reduction in summer term 2023.</w:t>
      </w:r>
    </w:p>
    <w:p w14:paraId="00571AAA" w14:textId="77777777" w:rsidR="002B092F" w:rsidRPr="00DE69A7" w:rsidRDefault="002B092F">
      <w:pPr>
        <w:jc w:val="both"/>
        <w:rPr>
          <w:rFonts w:ascii="Century Gothic" w:hAnsi="Century Gothic"/>
          <w:color w:val="222222"/>
          <w:highlight w:val="white"/>
        </w:rPr>
      </w:pPr>
    </w:p>
    <w:p w14:paraId="28A68ADB" w14:textId="48556165" w:rsidR="002B092F" w:rsidRPr="00DE69A7" w:rsidRDefault="00DE69A7">
      <w:pPr>
        <w:jc w:val="both"/>
        <w:rPr>
          <w:rFonts w:ascii="Century Gothic" w:hAnsi="Century Gothic"/>
          <w:color w:val="222222"/>
          <w:highlight w:val="white"/>
        </w:rPr>
      </w:pPr>
      <w:r w:rsidRPr="00DE69A7">
        <w:rPr>
          <w:rFonts w:ascii="Century Gothic" w:hAnsi="Century Gothic"/>
          <w:color w:val="222222"/>
          <w:highlight w:val="white"/>
        </w:rPr>
        <w:t>The Appropriate Body will only consider reducing induction to a period covering two full school years and bringing forward the final assessment point to the end of the two-year period on the following conditions:</w:t>
      </w:r>
    </w:p>
    <w:p w14:paraId="1829B5A6" w14:textId="77777777" w:rsidR="002B092F" w:rsidRPr="00DE69A7" w:rsidRDefault="002B092F">
      <w:pPr>
        <w:jc w:val="both"/>
        <w:rPr>
          <w:rFonts w:ascii="Century Gothic" w:hAnsi="Century Gothic"/>
          <w:color w:val="222222"/>
          <w:highlight w:val="white"/>
        </w:rPr>
      </w:pPr>
    </w:p>
    <w:p w14:paraId="132A6B1D" w14:textId="77777777" w:rsidR="002B092F" w:rsidRPr="00DE69A7" w:rsidRDefault="00DE69A7">
      <w:pPr>
        <w:numPr>
          <w:ilvl w:val="0"/>
          <w:numId w:val="1"/>
        </w:numPr>
        <w:jc w:val="both"/>
        <w:rPr>
          <w:rFonts w:ascii="Century Gothic" w:hAnsi="Century Gothic"/>
          <w:color w:val="222222"/>
          <w:highlight w:val="white"/>
        </w:rPr>
      </w:pPr>
      <w:r w:rsidRPr="00DE69A7">
        <w:rPr>
          <w:rFonts w:ascii="Century Gothic" w:hAnsi="Century Gothic"/>
          <w:color w:val="222222"/>
          <w:highlight w:val="white"/>
        </w:rPr>
        <w:t xml:space="preserve">The ECT </w:t>
      </w:r>
      <w:proofErr w:type="gramStart"/>
      <w:r w:rsidRPr="00DE69A7">
        <w:rPr>
          <w:rFonts w:ascii="Century Gothic" w:hAnsi="Century Gothic"/>
          <w:color w:val="222222"/>
          <w:highlight w:val="white"/>
        </w:rPr>
        <w:t>is considered to be</w:t>
      </w:r>
      <w:proofErr w:type="gramEnd"/>
      <w:r w:rsidRPr="00DE69A7">
        <w:rPr>
          <w:rFonts w:ascii="Century Gothic" w:hAnsi="Century Gothic"/>
          <w:color w:val="222222"/>
          <w:highlight w:val="white"/>
        </w:rPr>
        <w:t xml:space="preserve"> meeting the Teachers’ Standards. Evidence from Progress Reviews and Formal Assessments completed must indicate the ECT is (or has made progress to be) on track to meeting the Teachers’ Standards </w:t>
      </w:r>
    </w:p>
    <w:p w14:paraId="5D5BE7CA" w14:textId="77777777" w:rsidR="002B092F" w:rsidRPr="00DE69A7" w:rsidRDefault="00DE69A7">
      <w:pPr>
        <w:numPr>
          <w:ilvl w:val="0"/>
          <w:numId w:val="1"/>
        </w:numPr>
        <w:jc w:val="both"/>
        <w:rPr>
          <w:rFonts w:ascii="Century Gothic" w:hAnsi="Century Gothic"/>
          <w:color w:val="222222"/>
          <w:highlight w:val="white"/>
        </w:rPr>
      </w:pPr>
      <w:r w:rsidRPr="00DE69A7">
        <w:rPr>
          <w:rFonts w:ascii="Century Gothic" w:hAnsi="Century Gothic"/>
          <w:color w:val="222222"/>
          <w:highlight w:val="white"/>
        </w:rPr>
        <w:t xml:space="preserve">The headteacher and ECT </w:t>
      </w:r>
      <w:proofErr w:type="gramStart"/>
      <w:r w:rsidRPr="00DE69A7">
        <w:rPr>
          <w:rFonts w:ascii="Century Gothic" w:hAnsi="Century Gothic"/>
          <w:color w:val="222222"/>
          <w:highlight w:val="white"/>
        </w:rPr>
        <w:t>are in agreement</w:t>
      </w:r>
      <w:proofErr w:type="gramEnd"/>
      <w:r w:rsidRPr="00DE69A7">
        <w:rPr>
          <w:rFonts w:ascii="Century Gothic" w:hAnsi="Century Gothic"/>
          <w:color w:val="222222"/>
          <w:highlight w:val="white"/>
        </w:rPr>
        <w:t xml:space="preserve"> in requesting a reduction</w:t>
      </w:r>
    </w:p>
    <w:p w14:paraId="29D80953" w14:textId="77777777" w:rsidR="002B092F" w:rsidRPr="00DE69A7" w:rsidRDefault="00DE69A7">
      <w:pPr>
        <w:numPr>
          <w:ilvl w:val="0"/>
          <w:numId w:val="1"/>
        </w:numPr>
        <w:jc w:val="both"/>
        <w:rPr>
          <w:rFonts w:ascii="Century Gothic" w:hAnsi="Century Gothic"/>
          <w:color w:val="222222"/>
          <w:highlight w:val="white"/>
        </w:rPr>
      </w:pPr>
      <w:r w:rsidRPr="00DE69A7">
        <w:rPr>
          <w:rFonts w:ascii="Century Gothic" w:hAnsi="Century Gothic"/>
          <w:color w:val="222222"/>
          <w:highlight w:val="white"/>
        </w:rPr>
        <w:t>The request is made no earlier than the beginning of the Summer Term in Year 2</w:t>
      </w:r>
    </w:p>
    <w:p w14:paraId="5FEA7FEE" w14:textId="77777777" w:rsidR="002B092F" w:rsidRPr="00DE69A7" w:rsidRDefault="002B092F">
      <w:pPr>
        <w:ind w:left="720"/>
        <w:jc w:val="both"/>
        <w:rPr>
          <w:rFonts w:ascii="Century Gothic" w:hAnsi="Century Gothic"/>
          <w:color w:val="222222"/>
          <w:highlight w:val="white"/>
        </w:rPr>
      </w:pPr>
    </w:p>
    <w:p w14:paraId="423AB1F1" w14:textId="57600E08" w:rsidR="002B092F" w:rsidRPr="00DE69A7" w:rsidRDefault="00DE69A7">
      <w:pPr>
        <w:jc w:val="both"/>
        <w:rPr>
          <w:rFonts w:ascii="Century Gothic" w:hAnsi="Century Gothic"/>
          <w:color w:val="222222"/>
          <w:highlight w:val="white"/>
        </w:rPr>
      </w:pPr>
      <w:r w:rsidRPr="00DE69A7">
        <w:rPr>
          <w:rFonts w:ascii="Century Gothic" w:hAnsi="Century Gothic"/>
          <w:color w:val="222222"/>
          <w:highlight w:val="white"/>
        </w:rPr>
        <w:t xml:space="preserve">For a school to request the Appropriate Body to consider a reduction they must email </w:t>
      </w:r>
      <w:r>
        <w:rPr>
          <w:rFonts w:ascii="Century Gothic" w:hAnsi="Century Gothic"/>
          <w:color w:val="222222"/>
          <w:highlight w:val="white"/>
        </w:rPr>
        <w:t xml:space="preserve">Liz Cullis </w:t>
      </w:r>
      <w:hyperlink r:id="rId7" w:history="1">
        <w:r w:rsidRPr="00E25CFE">
          <w:rPr>
            <w:rStyle w:val="Hyperlink"/>
            <w:rFonts w:ascii="Century Gothic" w:hAnsi="Century Gothic"/>
            <w:highlight w:val="white"/>
          </w:rPr>
          <w:t>ts-hub@balcarras.gloucs.sch.uk</w:t>
        </w:r>
      </w:hyperlink>
      <w:r>
        <w:rPr>
          <w:rFonts w:ascii="Century Gothic" w:hAnsi="Century Gothic"/>
          <w:color w:val="222222"/>
          <w:highlight w:val="white"/>
        </w:rPr>
        <w:t xml:space="preserve"> </w:t>
      </w:r>
      <w:r w:rsidRPr="00DE69A7">
        <w:rPr>
          <w:rFonts w:ascii="Century Gothic" w:hAnsi="Century Gothic"/>
          <w:color w:val="222222"/>
          <w:highlight w:val="white"/>
        </w:rPr>
        <w:t xml:space="preserve">no earlier than the beginning of the Summer Term in Year 2. Once the request has been received, the Appropriate Body will review existing Progress Reviews and Formal Assessments on record for the ECT and seek confirmation from both the headteacher and ECT that this is a mutual request </w:t>
      </w:r>
      <w:proofErr w:type="gramStart"/>
      <w:r w:rsidRPr="00DE69A7">
        <w:rPr>
          <w:rFonts w:ascii="Century Gothic" w:hAnsi="Century Gothic"/>
          <w:color w:val="222222"/>
          <w:highlight w:val="white"/>
        </w:rPr>
        <w:t>in order to</w:t>
      </w:r>
      <w:proofErr w:type="gramEnd"/>
      <w:r w:rsidRPr="00DE69A7">
        <w:rPr>
          <w:rFonts w:ascii="Century Gothic" w:hAnsi="Century Gothic"/>
          <w:color w:val="222222"/>
          <w:highlight w:val="white"/>
        </w:rPr>
        <w:t xml:space="preserve"> make a decision.</w:t>
      </w:r>
    </w:p>
    <w:p w14:paraId="60C93447" w14:textId="77777777" w:rsidR="002B092F" w:rsidRPr="00DE69A7" w:rsidRDefault="002B092F">
      <w:pPr>
        <w:rPr>
          <w:rFonts w:ascii="Century Gothic" w:hAnsi="Century Gothic"/>
          <w:sz w:val="20"/>
          <w:szCs w:val="20"/>
        </w:rPr>
      </w:pPr>
    </w:p>
    <w:sectPr w:rsidR="002B092F" w:rsidRPr="00DE69A7" w:rsidSect="00033987">
      <w:pgSz w:w="11909" w:h="16834"/>
      <w:pgMar w:top="426" w:right="1280" w:bottom="541"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90FF3"/>
    <w:multiLevelType w:val="multilevel"/>
    <w:tmpl w:val="2BDE4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702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92F"/>
    <w:rsid w:val="00033987"/>
    <w:rsid w:val="002B092F"/>
    <w:rsid w:val="00605600"/>
    <w:rsid w:val="00DE6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8002"/>
  <w15:docId w15:val="{12373A7A-8617-4F64-9BBB-FA80D7EB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E69A7"/>
    <w:rPr>
      <w:color w:val="0000FF" w:themeColor="hyperlink"/>
      <w:u w:val="single"/>
    </w:rPr>
  </w:style>
  <w:style w:type="character" w:styleId="UnresolvedMention">
    <w:name w:val="Unresolved Mention"/>
    <w:basedOn w:val="DefaultParagraphFont"/>
    <w:uiPriority w:val="99"/>
    <w:semiHidden/>
    <w:unhideWhenUsed/>
    <w:rsid w:val="00DE6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hub@balcarras.glou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905753ff3cea231a868-376d75cd2890937de6f542499f88a819.ssl.cf3.rackcdn.com/teaching_talent/uploads/document/BPN-ECF-Non-Standard-Policy-Sept-2021.pdf?ts=163714754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Harrington</dc:creator>
  <cp:lastModifiedBy>Jo Newman</cp:lastModifiedBy>
  <cp:revision>2</cp:revision>
  <dcterms:created xsi:type="dcterms:W3CDTF">2024-01-04T12:27:00Z</dcterms:created>
  <dcterms:modified xsi:type="dcterms:W3CDTF">2024-01-04T12:27:00Z</dcterms:modified>
</cp:coreProperties>
</file>