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4B25" w14:textId="2BF3DF7F" w:rsidR="00DE77C7" w:rsidRDefault="00562A5A" w:rsidP="2BD3370F">
      <w:pPr>
        <w:spacing w:line="360" w:lineRule="auto"/>
        <w:rPr>
          <w:b/>
          <w:bCs/>
          <w:sz w:val="24"/>
          <w:szCs w:val="24"/>
          <w:u w:val="single"/>
        </w:rPr>
      </w:pPr>
      <w:r w:rsidRPr="00562A5A">
        <w:rPr>
          <w:noProof/>
        </w:rPr>
        <w:drawing>
          <wp:anchor distT="0" distB="0" distL="114300" distR="114300" simplePos="0" relativeHeight="251658240" behindDoc="0" locked="0" layoutInCell="1" allowOverlap="1" wp14:anchorId="3B4EB78D" wp14:editId="4A943DCD">
            <wp:simplePos x="0" y="0"/>
            <wp:positionH relativeFrom="column">
              <wp:posOffset>3362325</wp:posOffset>
            </wp:positionH>
            <wp:positionV relativeFrom="paragraph">
              <wp:posOffset>0</wp:posOffset>
            </wp:positionV>
            <wp:extent cx="2028825" cy="664210"/>
            <wp:effectExtent l="0" t="0" r="9525" b="2540"/>
            <wp:wrapThrough wrapText="bothSides">
              <wp:wrapPolygon edited="0">
                <wp:start x="0" y="0"/>
                <wp:lineTo x="0" y="21063"/>
                <wp:lineTo x="21499" y="21063"/>
                <wp:lineTo x="21499" y="0"/>
                <wp:lineTo x="0" y="0"/>
              </wp:wrapPolygon>
            </wp:wrapThrough>
            <wp:docPr id="94044861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48613" name="Picture 1"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BA7" w:rsidRPr="00B01BA7">
        <w:rPr>
          <w:noProof/>
        </w:rPr>
        <w:drawing>
          <wp:inline distT="0" distB="0" distL="0" distR="0" wp14:anchorId="705F75C4" wp14:editId="6CCE0B26">
            <wp:extent cx="2276475" cy="678526"/>
            <wp:effectExtent l="0" t="0" r="0" b="7620"/>
            <wp:docPr id="1241947496"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47496" name="Picture 1" descr="A green and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767" cy="694708"/>
                    </a:xfrm>
                    <a:prstGeom prst="rect">
                      <a:avLst/>
                    </a:prstGeom>
                    <a:noFill/>
                    <a:ln>
                      <a:noFill/>
                    </a:ln>
                  </pic:spPr>
                </pic:pic>
              </a:graphicData>
            </a:graphic>
          </wp:inline>
        </w:drawing>
      </w:r>
      <w:r w:rsidR="00DE77C7" w:rsidRPr="00DE77C7">
        <w:t xml:space="preserve"> </w:t>
      </w:r>
    </w:p>
    <w:p w14:paraId="4170F5A8" w14:textId="77777777" w:rsidR="00035A65" w:rsidRDefault="00035A65" w:rsidP="2BD3370F">
      <w:pPr>
        <w:spacing w:line="360" w:lineRule="auto"/>
        <w:rPr>
          <w:rFonts w:ascii="Century Gothic" w:hAnsi="Century Gothic"/>
          <w:b/>
          <w:bCs/>
          <w:sz w:val="24"/>
          <w:szCs w:val="24"/>
          <w:u w:val="single"/>
        </w:rPr>
      </w:pPr>
    </w:p>
    <w:p w14:paraId="2F795BEB" w14:textId="77777777" w:rsidR="00035A65" w:rsidRDefault="00035A65" w:rsidP="2BD3370F">
      <w:pPr>
        <w:spacing w:line="360" w:lineRule="auto"/>
        <w:rPr>
          <w:rFonts w:ascii="Century Gothic" w:hAnsi="Century Gothic"/>
          <w:b/>
          <w:bCs/>
          <w:sz w:val="24"/>
          <w:szCs w:val="24"/>
          <w:u w:val="single"/>
        </w:rPr>
      </w:pPr>
    </w:p>
    <w:p w14:paraId="2C078E63" w14:textId="258D0EB1" w:rsidR="00DC321A" w:rsidRPr="00035A65" w:rsidRDefault="4C0ACBD5" w:rsidP="00035A65">
      <w:pPr>
        <w:spacing w:after="0" w:line="240" w:lineRule="auto"/>
        <w:rPr>
          <w:rFonts w:ascii="Century Gothic" w:hAnsi="Century Gothic"/>
          <w:b/>
          <w:bCs/>
          <w:u w:val="single"/>
        </w:rPr>
      </w:pPr>
      <w:r w:rsidRPr="00035A65">
        <w:rPr>
          <w:rFonts w:ascii="Century Gothic" w:hAnsi="Century Gothic"/>
          <w:b/>
          <w:bCs/>
          <w:u w:val="single"/>
        </w:rPr>
        <w:t>NPQ and ECF Safeguarding</w:t>
      </w:r>
    </w:p>
    <w:p w14:paraId="336E14E5" w14:textId="450125A6" w:rsidR="4C0ACBD5" w:rsidRPr="00035A65" w:rsidRDefault="149DC3C9" w:rsidP="00035A65">
      <w:pPr>
        <w:spacing w:after="0" w:line="240" w:lineRule="auto"/>
        <w:rPr>
          <w:rFonts w:ascii="Century Gothic" w:hAnsi="Century Gothic"/>
        </w:rPr>
      </w:pPr>
      <w:r w:rsidRPr="00035A65">
        <w:rPr>
          <w:rFonts w:ascii="Century Gothic" w:hAnsi="Century Gothic"/>
        </w:rPr>
        <w:t xml:space="preserve">Extracts for this document are drawn from UCL </w:t>
      </w:r>
      <w:hyperlink r:id="rId10">
        <w:r w:rsidRPr="00035A65">
          <w:rPr>
            <w:rStyle w:val="Hyperlink"/>
            <w:rFonts w:ascii="Century Gothic" w:hAnsi="Century Gothic"/>
          </w:rPr>
          <w:t>Safeguarding Children and Adults at Risk Policy and Procedure,</w:t>
        </w:r>
      </w:hyperlink>
      <w:r w:rsidRPr="00035A65">
        <w:rPr>
          <w:rFonts w:ascii="Century Gothic" w:hAnsi="Century Gothic"/>
        </w:rPr>
        <w:t xml:space="preserve"> shown in italics.</w:t>
      </w:r>
    </w:p>
    <w:p w14:paraId="580E1A6F" w14:textId="77777777" w:rsidR="00035A65" w:rsidRPr="00035A65" w:rsidRDefault="00035A65" w:rsidP="00035A65">
      <w:pPr>
        <w:spacing w:after="0" w:line="240" w:lineRule="auto"/>
        <w:rPr>
          <w:rFonts w:ascii="Century Gothic" w:hAnsi="Century Gothic"/>
        </w:rPr>
      </w:pPr>
    </w:p>
    <w:p w14:paraId="54F6B8D1" w14:textId="70E25CE5" w:rsidR="149DC3C9" w:rsidRPr="00035A65" w:rsidRDefault="149DC3C9" w:rsidP="00035A65">
      <w:pPr>
        <w:spacing w:after="0" w:line="240" w:lineRule="auto"/>
        <w:rPr>
          <w:rFonts w:ascii="Century Gothic" w:hAnsi="Century Gothic"/>
          <w:b/>
          <w:bCs/>
          <w:u w:val="single"/>
        </w:rPr>
      </w:pPr>
      <w:r w:rsidRPr="00035A65">
        <w:rPr>
          <w:rFonts w:ascii="Century Gothic" w:hAnsi="Century Gothic"/>
          <w:b/>
          <w:bCs/>
          <w:u w:val="single"/>
        </w:rPr>
        <w:t>Introduction and Definitions</w:t>
      </w:r>
    </w:p>
    <w:p w14:paraId="643F9E69" w14:textId="3FC2350A" w:rsidR="149DC3C9" w:rsidRPr="00035A65" w:rsidRDefault="149DC3C9" w:rsidP="00035A65">
      <w:pPr>
        <w:spacing w:after="0" w:line="240" w:lineRule="auto"/>
        <w:rPr>
          <w:rFonts w:ascii="Century Gothic" w:hAnsi="Century Gothic"/>
          <w:i/>
          <w:iCs/>
        </w:rPr>
      </w:pPr>
      <w:r w:rsidRPr="00035A65">
        <w:rPr>
          <w:rFonts w:ascii="Century Gothic" w:hAnsi="Century Gothic"/>
          <w:i/>
          <w:iCs/>
        </w:rPr>
        <w:t xml:space="preserve">UCL </w:t>
      </w:r>
      <w:proofErr w:type="spellStart"/>
      <w:r w:rsidRPr="00035A65">
        <w:rPr>
          <w:rFonts w:ascii="Century Gothic" w:hAnsi="Century Gothic"/>
          <w:i/>
          <w:iCs/>
        </w:rPr>
        <w:t>recognises</w:t>
      </w:r>
      <w:proofErr w:type="spellEnd"/>
      <w:r w:rsidRPr="00035A65">
        <w:rPr>
          <w:rFonts w:ascii="Century Gothic" w:hAnsi="Century Gothic"/>
          <w:i/>
          <w:iCs/>
        </w:rPr>
        <w:t xml:space="preserve"> that it has social, </w:t>
      </w:r>
      <w:proofErr w:type="gramStart"/>
      <w:r w:rsidRPr="00035A65">
        <w:rPr>
          <w:rFonts w:ascii="Century Gothic" w:hAnsi="Century Gothic"/>
          <w:i/>
          <w:iCs/>
        </w:rPr>
        <w:t>moral</w:t>
      </w:r>
      <w:proofErr w:type="gramEnd"/>
      <w:r w:rsidRPr="00035A65">
        <w:rPr>
          <w:rFonts w:ascii="Century Gothic" w:hAnsi="Century Gothic"/>
          <w:i/>
          <w:iCs/>
        </w:rPr>
        <w:t xml:space="preserve"> and legal obligations to safeguard the wellbeing and safety of children and adults at risk involved in any UCL activities, whether they are conducted in person or online.</w:t>
      </w:r>
    </w:p>
    <w:p w14:paraId="1B41C3FE" w14:textId="3C23DBE6" w:rsidR="738E43DF" w:rsidRPr="00035A65" w:rsidRDefault="738E43DF" w:rsidP="00035A65">
      <w:pPr>
        <w:spacing w:after="0" w:line="240" w:lineRule="auto"/>
        <w:rPr>
          <w:rFonts w:ascii="Century Gothic" w:hAnsi="Century Gothic"/>
          <w:i/>
          <w:iCs/>
        </w:rPr>
      </w:pPr>
      <w:r w:rsidRPr="00035A65">
        <w:rPr>
          <w:rFonts w:ascii="Century Gothic" w:hAnsi="Century Gothic"/>
          <w:i/>
          <w:iCs/>
        </w:rPr>
        <w:t>A child is defined as anyone under the age of 18. In this policy we also use the term ‘young person’ ‘young worker’ or ‘young people’ to refer to children aged 16 or 17 years old.</w:t>
      </w:r>
    </w:p>
    <w:p w14:paraId="543912F1" w14:textId="6E0F8447" w:rsidR="738E43DF" w:rsidRPr="00035A65" w:rsidRDefault="738E43DF" w:rsidP="00035A65">
      <w:pPr>
        <w:spacing w:after="0" w:line="240" w:lineRule="auto"/>
        <w:rPr>
          <w:rFonts w:ascii="Century Gothic" w:hAnsi="Century Gothic"/>
          <w:i/>
          <w:iCs/>
        </w:rPr>
      </w:pPr>
      <w:r w:rsidRPr="00035A65">
        <w:rPr>
          <w:rFonts w:ascii="Century Gothic" w:hAnsi="Century Gothic"/>
          <w:i/>
          <w:iCs/>
        </w:rPr>
        <w:t xml:space="preserve">An adult at risk is someone aged 18 or over who receives or may need community care services because of a disability, </w:t>
      </w:r>
      <w:proofErr w:type="gramStart"/>
      <w:r w:rsidRPr="00035A65">
        <w:rPr>
          <w:rFonts w:ascii="Century Gothic" w:hAnsi="Century Gothic"/>
          <w:i/>
          <w:iCs/>
        </w:rPr>
        <w:t>age</w:t>
      </w:r>
      <w:proofErr w:type="gramEnd"/>
      <w:r w:rsidRPr="00035A65">
        <w:rPr>
          <w:rFonts w:ascii="Century Gothic" w:hAnsi="Century Gothic"/>
          <w:i/>
          <w:iCs/>
        </w:rPr>
        <w:t xml:space="preserve"> or illness and as a result of those needs is unable to take care of themself or is unable to protect themself against significant harm or exploitation. This can relate to physical, </w:t>
      </w:r>
      <w:proofErr w:type="gramStart"/>
      <w:r w:rsidRPr="00035A65">
        <w:rPr>
          <w:rFonts w:ascii="Century Gothic" w:hAnsi="Century Gothic"/>
          <w:i/>
          <w:iCs/>
        </w:rPr>
        <w:t>mental</w:t>
      </w:r>
      <w:proofErr w:type="gramEnd"/>
      <w:r w:rsidRPr="00035A65">
        <w:rPr>
          <w:rFonts w:ascii="Century Gothic" w:hAnsi="Century Gothic"/>
          <w:i/>
          <w:iCs/>
        </w:rPr>
        <w:t xml:space="preserve"> or psychological wellbeing or the potential to be drawn into sexual, financial or criminal exploitation and activity. </w:t>
      </w:r>
    </w:p>
    <w:p w14:paraId="46BAB485" w14:textId="3018F8F4" w:rsidR="738E43DF" w:rsidRPr="00035A65" w:rsidRDefault="738E43DF" w:rsidP="00035A65">
      <w:pPr>
        <w:spacing w:after="0" w:line="240" w:lineRule="auto"/>
        <w:rPr>
          <w:rFonts w:ascii="Century Gothic" w:hAnsi="Century Gothic"/>
          <w:i/>
          <w:iCs/>
        </w:rPr>
      </w:pPr>
      <w:r w:rsidRPr="00035A65">
        <w:rPr>
          <w:rFonts w:ascii="Century Gothic" w:hAnsi="Century Gothic"/>
          <w:i/>
          <w:iCs/>
        </w:rPr>
        <w:t>Welfare concerns include but are not limited to risk of suicide, self-harm, untreated mental health needs, going missing, domestic abuse, exploitation, serious self-neglect, risk of homelessness, or sexual abuse.</w:t>
      </w:r>
    </w:p>
    <w:p w14:paraId="4913804E" w14:textId="77777777" w:rsidR="00035A65" w:rsidRPr="00035A65" w:rsidRDefault="00035A65" w:rsidP="00035A65">
      <w:pPr>
        <w:spacing w:after="0" w:line="240" w:lineRule="auto"/>
        <w:rPr>
          <w:rFonts w:ascii="Century Gothic" w:hAnsi="Century Gothic"/>
          <w:i/>
          <w:iCs/>
        </w:rPr>
      </w:pPr>
    </w:p>
    <w:p w14:paraId="18D43FAB" w14:textId="0AC20360" w:rsidR="149DC3C9" w:rsidRPr="00035A65" w:rsidRDefault="149DC3C9" w:rsidP="00035A65">
      <w:pPr>
        <w:spacing w:after="0" w:line="240" w:lineRule="auto"/>
        <w:rPr>
          <w:rFonts w:ascii="Century Gothic" w:hAnsi="Century Gothic"/>
          <w:b/>
          <w:bCs/>
          <w:u w:val="single"/>
        </w:rPr>
      </w:pPr>
      <w:r w:rsidRPr="00035A65">
        <w:rPr>
          <w:rFonts w:ascii="Century Gothic" w:hAnsi="Century Gothic"/>
          <w:b/>
          <w:bCs/>
          <w:u w:val="single"/>
        </w:rPr>
        <w:t>NPQ and ECF Scope</w:t>
      </w:r>
    </w:p>
    <w:p w14:paraId="712D71AE" w14:textId="1B724201" w:rsidR="149DC3C9" w:rsidRDefault="149DC3C9" w:rsidP="00035A65">
      <w:pPr>
        <w:spacing w:after="0" w:line="240" w:lineRule="auto"/>
        <w:rPr>
          <w:rFonts w:ascii="Century Gothic" w:hAnsi="Century Gothic"/>
        </w:rPr>
      </w:pPr>
      <w:r w:rsidRPr="00035A65">
        <w:rPr>
          <w:rFonts w:ascii="Century Gothic" w:hAnsi="Century Gothic"/>
        </w:rPr>
        <w:t>NPQ and ECF activities fall within the following category:</w:t>
      </w:r>
    </w:p>
    <w:p w14:paraId="095ACF59" w14:textId="77777777" w:rsidR="00B57E07" w:rsidRPr="00035A65" w:rsidRDefault="00B57E07" w:rsidP="00035A65">
      <w:pPr>
        <w:spacing w:after="0" w:line="240" w:lineRule="auto"/>
        <w:rPr>
          <w:rFonts w:ascii="Century Gothic" w:hAnsi="Century Gothic"/>
        </w:rPr>
      </w:pPr>
    </w:p>
    <w:p w14:paraId="62C58AB5" w14:textId="6EF2AF2D" w:rsidR="00B57E07" w:rsidRDefault="149DC3C9" w:rsidP="00035A65">
      <w:pPr>
        <w:spacing w:after="0" w:line="240" w:lineRule="auto"/>
        <w:rPr>
          <w:rFonts w:ascii="Century Gothic" w:hAnsi="Century Gothic"/>
          <w:i/>
          <w:iCs/>
        </w:rPr>
      </w:pPr>
      <w:r w:rsidRPr="00035A65">
        <w:rPr>
          <w:rFonts w:ascii="Century Gothic" w:hAnsi="Century Gothic"/>
          <w:i/>
          <w:iCs/>
        </w:rPr>
        <w:t xml:space="preserve">Staff, </w:t>
      </w:r>
      <w:proofErr w:type="gramStart"/>
      <w:r w:rsidRPr="00035A65">
        <w:rPr>
          <w:rFonts w:ascii="Century Gothic" w:hAnsi="Century Gothic"/>
          <w:i/>
          <w:iCs/>
        </w:rPr>
        <w:t>students</w:t>
      </w:r>
      <w:proofErr w:type="gramEnd"/>
      <w:r w:rsidRPr="00035A65">
        <w:rPr>
          <w:rFonts w:ascii="Century Gothic" w:hAnsi="Century Gothic"/>
          <w:i/>
          <w:iCs/>
        </w:rPr>
        <w:t xml:space="preserve"> or volunteers who work with children or adults at risk in another </w:t>
      </w:r>
      <w:proofErr w:type="spellStart"/>
      <w:r w:rsidRPr="00035A65">
        <w:rPr>
          <w:rFonts w:ascii="Century Gothic" w:hAnsi="Century Gothic"/>
          <w:i/>
          <w:iCs/>
        </w:rPr>
        <w:t>organisation</w:t>
      </w:r>
      <w:proofErr w:type="spellEnd"/>
      <w:r w:rsidRPr="00035A65">
        <w:rPr>
          <w:rFonts w:ascii="Century Gothic" w:hAnsi="Century Gothic"/>
          <w:i/>
          <w:iCs/>
        </w:rPr>
        <w:t xml:space="preserve"> whilst representing UCL should follow the host </w:t>
      </w:r>
      <w:proofErr w:type="spellStart"/>
      <w:r w:rsidRPr="00035A65">
        <w:rPr>
          <w:rFonts w:ascii="Century Gothic" w:hAnsi="Century Gothic"/>
          <w:i/>
          <w:iCs/>
        </w:rPr>
        <w:t>organisation’s</w:t>
      </w:r>
      <w:proofErr w:type="spellEnd"/>
      <w:r w:rsidRPr="00035A65">
        <w:rPr>
          <w:rFonts w:ascii="Century Gothic" w:hAnsi="Century Gothic"/>
          <w:i/>
          <w:iCs/>
        </w:rPr>
        <w:t xml:space="preserve"> safeguarding policy and procedures.</w:t>
      </w:r>
    </w:p>
    <w:p w14:paraId="6F373706" w14:textId="77777777" w:rsidR="00B57E07" w:rsidRPr="00035A65" w:rsidRDefault="00B57E07" w:rsidP="00035A65">
      <w:pPr>
        <w:spacing w:after="0" w:line="240" w:lineRule="auto"/>
        <w:rPr>
          <w:rFonts w:ascii="Century Gothic" w:hAnsi="Century Gothic"/>
          <w:i/>
          <w:iCs/>
        </w:rPr>
      </w:pPr>
    </w:p>
    <w:p w14:paraId="2CD2E1E3" w14:textId="652ADBEE" w:rsidR="149DC3C9" w:rsidRPr="00035A65" w:rsidRDefault="149DC3C9" w:rsidP="00035A65">
      <w:pPr>
        <w:spacing w:after="0" w:line="240" w:lineRule="auto"/>
        <w:rPr>
          <w:rFonts w:ascii="Century Gothic" w:hAnsi="Century Gothic"/>
        </w:rPr>
      </w:pPr>
      <w:r w:rsidRPr="00035A65">
        <w:rPr>
          <w:rFonts w:ascii="Century Gothic" w:hAnsi="Century Gothic"/>
        </w:rPr>
        <w:t>This is detailed in Section 20 of the Policy and Procedure that states:</w:t>
      </w:r>
    </w:p>
    <w:p w14:paraId="6116FEF8" w14:textId="0F331F0D" w:rsidR="149DC3C9" w:rsidRPr="00035A65" w:rsidRDefault="149DC3C9" w:rsidP="00035A65">
      <w:pPr>
        <w:spacing w:after="0" w:line="240" w:lineRule="auto"/>
        <w:rPr>
          <w:rFonts w:ascii="Century Gothic" w:hAnsi="Century Gothic"/>
          <w:i/>
          <w:iCs/>
        </w:rPr>
      </w:pPr>
      <w:r w:rsidRPr="00035A65">
        <w:rPr>
          <w:rFonts w:ascii="Century Gothic" w:hAnsi="Century Gothic"/>
          <w:i/>
          <w:iCs/>
        </w:rPr>
        <w:t xml:space="preserve">20.1 UCL may work with other </w:t>
      </w:r>
      <w:proofErr w:type="spellStart"/>
      <w:r w:rsidRPr="00035A65">
        <w:rPr>
          <w:rFonts w:ascii="Century Gothic" w:hAnsi="Century Gothic"/>
          <w:i/>
          <w:iCs/>
        </w:rPr>
        <w:t>organisations</w:t>
      </w:r>
      <w:proofErr w:type="spellEnd"/>
      <w:r w:rsidRPr="00035A65">
        <w:rPr>
          <w:rFonts w:ascii="Century Gothic" w:hAnsi="Century Gothic"/>
          <w:i/>
          <w:iCs/>
        </w:rPr>
        <w:t xml:space="preserve"> to deliver activities either on UCL premises or the premises of the other </w:t>
      </w:r>
      <w:proofErr w:type="spellStart"/>
      <w:r w:rsidRPr="00035A65">
        <w:rPr>
          <w:rFonts w:ascii="Century Gothic" w:hAnsi="Century Gothic"/>
          <w:i/>
          <w:iCs/>
        </w:rPr>
        <w:t>organisation</w:t>
      </w:r>
      <w:proofErr w:type="spellEnd"/>
      <w:r w:rsidRPr="00035A65">
        <w:rPr>
          <w:rFonts w:ascii="Century Gothic" w:hAnsi="Century Gothic"/>
          <w:i/>
          <w:iCs/>
        </w:rPr>
        <w:t xml:space="preserve">. As part of these activities UCL will agree which </w:t>
      </w:r>
      <w:proofErr w:type="spellStart"/>
      <w:r w:rsidRPr="00035A65">
        <w:rPr>
          <w:rFonts w:ascii="Century Gothic" w:hAnsi="Century Gothic"/>
          <w:i/>
          <w:iCs/>
        </w:rPr>
        <w:t>organisation</w:t>
      </w:r>
      <w:proofErr w:type="spellEnd"/>
      <w:r w:rsidRPr="00035A65">
        <w:rPr>
          <w:rFonts w:ascii="Century Gothic" w:hAnsi="Century Gothic"/>
          <w:i/>
          <w:iCs/>
        </w:rPr>
        <w:t xml:space="preserve"> will take </w:t>
      </w:r>
      <w:proofErr w:type="gramStart"/>
      <w:r w:rsidRPr="00035A65">
        <w:rPr>
          <w:rFonts w:ascii="Century Gothic" w:hAnsi="Century Gothic"/>
          <w:i/>
          <w:iCs/>
        </w:rPr>
        <w:t>lead</w:t>
      </w:r>
      <w:proofErr w:type="gramEnd"/>
      <w:r w:rsidRPr="00035A65">
        <w:rPr>
          <w:rFonts w:ascii="Century Gothic" w:hAnsi="Century Gothic"/>
          <w:i/>
          <w:iCs/>
        </w:rPr>
        <w:t xml:space="preserve"> safeguarding responsibility. When planning to work with an external </w:t>
      </w:r>
      <w:proofErr w:type="spellStart"/>
      <w:r w:rsidRPr="00035A65">
        <w:rPr>
          <w:rFonts w:ascii="Century Gothic" w:hAnsi="Century Gothic"/>
          <w:i/>
          <w:iCs/>
        </w:rPr>
        <w:t>organisation</w:t>
      </w:r>
      <w:proofErr w:type="spellEnd"/>
      <w:r w:rsidRPr="00035A65">
        <w:rPr>
          <w:rFonts w:ascii="Century Gothic" w:hAnsi="Century Gothic"/>
          <w:i/>
          <w:iCs/>
        </w:rPr>
        <w:t xml:space="preserve"> UCL representatives ensure that they:</w:t>
      </w:r>
    </w:p>
    <w:p w14:paraId="45E5763D" w14:textId="0390000B" w:rsidR="149DC3C9" w:rsidRPr="00035A65" w:rsidRDefault="149DC3C9" w:rsidP="00035A65">
      <w:pPr>
        <w:pStyle w:val="ListParagraph"/>
        <w:numPr>
          <w:ilvl w:val="0"/>
          <w:numId w:val="8"/>
        </w:numPr>
        <w:spacing w:after="0" w:line="240" w:lineRule="auto"/>
        <w:rPr>
          <w:rFonts w:ascii="Century Gothic" w:eastAsiaTheme="minorEastAsia" w:hAnsi="Century Gothic"/>
          <w:i/>
          <w:iCs/>
        </w:rPr>
      </w:pPr>
      <w:r w:rsidRPr="00035A65">
        <w:rPr>
          <w:rFonts w:ascii="Century Gothic" w:hAnsi="Century Gothic"/>
          <w:i/>
          <w:iCs/>
        </w:rPr>
        <w:t xml:space="preserve">Have the name and contact details of the other </w:t>
      </w:r>
      <w:proofErr w:type="spellStart"/>
      <w:r w:rsidRPr="00035A65">
        <w:rPr>
          <w:rFonts w:ascii="Century Gothic" w:hAnsi="Century Gothic"/>
          <w:i/>
          <w:iCs/>
        </w:rPr>
        <w:t>organisation’s</w:t>
      </w:r>
      <w:proofErr w:type="spellEnd"/>
      <w:r w:rsidRPr="00035A65">
        <w:rPr>
          <w:rFonts w:ascii="Century Gothic" w:hAnsi="Century Gothic"/>
          <w:i/>
          <w:iCs/>
        </w:rPr>
        <w:t xml:space="preserve"> safeguarding </w:t>
      </w:r>
      <w:proofErr w:type="gramStart"/>
      <w:r w:rsidRPr="00035A65">
        <w:rPr>
          <w:rFonts w:ascii="Century Gothic" w:hAnsi="Century Gothic"/>
          <w:i/>
          <w:iCs/>
        </w:rPr>
        <w:t>lead</w:t>
      </w:r>
      <w:proofErr w:type="gramEnd"/>
    </w:p>
    <w:p w14:paraId="19FCCDB1" w14:textId="2518C2B4" w:rsidR="149DC3C9" w:rsidRPr="00035A65" w:rsidRDefault="149DC3C9" w:rsidP="00035A65">
      <w:pPr>
        <w:pStyle w:val="ListParagraph"/>
        <w:numPr>
          <w:ilvl w:val="0"/>
          <w:numId w:val="8"/>
        </w:numPr>
        <w:spacing w:after="0" w:line="240" w:lineRule="auto"/>
        <w:rPr>
          <w:rFonts w:ascii="Century Gothic" w:eastAsiaTheme="minorEastAsia" w:hAnsi="Century Gothic"/>
          <w:i/>
          <w:iCs/>
        </w:rPr>
      </w:pPr>
      <w:r w:rsidRPr="00035A65">
        <w:rPr>
          <w:rFonts w:ascii="Century Gothic" w:hAnsi="Century Gothic"/>
          <w:i/>
          <w:iCs/>
        </w:rPr>
        <w:t xml:space="preserve">Agree the process for reporting safeguarding </w:t>
      </w:r>
      <w:proofErr w:type="gramStart"/>
      <w:r w:rsidRPr="00035A65">
        <w:rPr>
          <w:rFonts w:ascii="Century Gothic" w:hAnsi="Century Gothic"/>
          <w:i/>
          <w:iCs/>
        </w:rPr>
        <w:t>concerns</w:t>
      </w:r>
      <w:proofErr w:type="gramEnd"/>
    </w:p>
    <w:p w14:paraId="71E179AA" w14:textId="34484700" w:rsidR="149DC3C9" w:rsidRPr="00035A65" w:rsidRDefault="149DC3C9" w:rsidP="00035A65">
      <w:pPr>
        <w:pStyle w:val="ListParagraph"/>
        <w:numPr>
          <w:ilvl w:val="0"/>
          <w:numId w:val="8"/>
        </w:numPr>
        <w:spacing w:after="0" w:line="240" w:lineRule="auto"/>
        <w:rPr>
          <w:rFonts w:ascii="Century Gothic" w:eastAsiaTheme="minorEastAsia" w:hAnsi="Century Gothic"/>
          <w:i/>
          <w:iCs/>
        </w:rPr>
      </w:pPr>
      <w:r w:rsidRPr="00035A65">
        <w:rPr>
          <w:rFonts w:ascii="Century Gothic" w:hAnsi="Century Gothic"/>
          <w:i/>
          <w:iCs/>
        </w:rPr>
        <w:t xml:space="preserve">Agree responsibility for any risk assessments to be carried </w:t>
      </w:r>
      <w:proofErr w:type="gramStart"/>
      <w:r w:rsidRPr="00035A65">
        <w:rPr>
          <w:rFonts w:ascii="Century Gothic" w:hAnsi="Century Gothic"/>
          <w:i/>
          <w:iCs/>
        </w:rPr>
        <w:t>out</w:t>
      </w:r>
      <w:proofErr w:type="gramEnd"/>
    </w:p>
    <w:p w14:paraId="2517E5C8" w14:textId="3A51FDB2" w:rsidR="149DC3C9" w:rsidRPr="00035A65" w:rsidRDefault="149DC3C9" w:rsidP="00035A65">
      <w:pPr>
        <w:pStyle w:val="ListParagraph"/>
        <w:numPr>
          <w:ilvl w:val="0"/>
          <w:numId w:val="8"/>
        </w:numPr>
        <w:spacing w:after="0" w:line="240" w:lineRule="auto"/>
        <w:rPr>
          <w:rFonts w:ascii="Century Gothic" w:eastAsiaTheme="minorEastAsia" w:hAnsi="Century Gothic"/>
          <w:i/>
          <w:iCs/>
        </w:rPr>
      </w:pPr>
      <w:r w:rsidRPr="00035A65">
        <w:rPr>
          <w:rFonts w:ascii="Century Gothic" w:hAnsi="Century Gothic"/>
          <w:i/>
          <w:iCs/>
        </w:rPr>
        <w:t xml:space="preserve">Agree the responsibility for gaining consent and other permissions relating to confidential </w:t>
      </w:r>
      <w:proofErr w:type="gramStart"/>
      <w:r w:rsidRPr="00035A65">
        <w:rPr>
          <w:rFonts w:ascii="Century Gothic" w:hAnsi="Century Gothic"/>
          <w:i/>
          <w:iCs/>
        </w:rPr>
        <w:t>data</w:t>
      </w:r>
      <w:proofErr w:type="gramEnd"/>
    </w:p>
    <w:p w14:paraId="584667D0" w14:textId="540B11C6" w:rsidR="149DC3C9" w:rsidRPr="00035A65" w:rsidRDefault="149DC3C9" w:rsidP="00035A65">
      <w:pPr>
        <w:pStyle w:val="ListParagraph"/>
        <w:numPr>
          <w:ilvl w:val="0"/>
          <w:numId w:val="8"/>
        </w:numPr>
        <w:spacing w:after="0" w:line="240" w:lineRule="auto"/>
        <w:rPr>
          <w:rFonts w:ascii="Century Gothic" w:eastAsiaTheme="minorEastAsia" w:hAnsi="Century Gothic"/>
          <w:i/>
          <w:iCs/>
        </w:rPr>
      </w:pPr>
      <w:r w:rsidRPr="00035A65">
        <w:rPr>
          <w:rFonts w:ascii="Century Gothic" w:hAnsi="Century Gothic"/>
          <w:i/>
          <w:iCs/>
        </w:rPr>
        <w:t xml:space="preserve">Ensuring that staff have the appropriate training, </w:t>
      </w:r>
      <w:proofErr w:type="gramStart"/>
      <w:r w:rsidRPr="00035A65">
        <w:rPr>
          <w:rFonts w:ascii="Century Gothic" w:hAnsi="Century Gothic"/>
          <w:i/>
          <w:iCs/>
        </w:rPr>
        <w:t>qualifications</w:t>
      </w:r>
      <w:proofErr w:type="gramEnd"/>
      <w:r w:rsidRPr="00035A65">
        <w:rPr>
          <w:rFonts w:ascii="Century Gothic" w:hAnsi="Century Gothic"/>
          <w:i/>
          <w:iCs/>
        </w:rPr>
        <w:t xml:space="preserve"> and DBS clearance to work with children or adults at risk. </w:t>
      </w:r>
    </w:p>
    <w:p w14:paraId="68522F7B" w14:textId="37FE2344" w:rsidR="149DC3C9" w:rsidRPr="00035A65" w:rsidRDefault="149DC3C9" w:rsidP="00035A65">
      <w:pPr>
        <w:spacing w:after="0" w:line="240" w:lineRule="auto"/>
        <w:rPr>
          <w:rFonts w:ascii="Century Gothic" w:hAnsi="Century Gothic"/>
          <w:i/>
          <w:iCs/>
        </w:rPr>
      </w:pPr>
      <w:r w:rsidRPr="00035A65">
        <w:rPr>
          <w:rFonts w:ascii="Century Gothic" w:hAnsi="Century Gothic"/>
          <w:i/>
          <w:iCs/>
        </w:rPr>
        <w:lastRenderedPageBreak/>
        <w:t>20.2 Where a UCL employee is accused of abuse the Designated Safeguarding Lead for staff will inform Camden Local Authority Designated Officer who will advise on who else should be informed if the employee also works somewhere else.</w:t>
      </w:r>
    </w:p>
    <w:p w14:paraId="1B50203C" w14:textId="77777777" w:rsidR="00B57E07" w:rsidRDefault="00B57E07" w:rsidP="00035A65">
      <w:pPr>
        <w:spacing w:after="0" w:line="240" w:lineRule="auto"/>
        <w:rPr>
          <w:rFonts w:ascii="Century Gothic" w:hAnsi="Century Gothic"/>
          <w:b/>
          <w:bCs/>
          <w:u w:val="single"/>
        </w:rPr>
      </w:pPr>
    </w:p>
    <w:p w14:paraId="464E5DBF" w14:textId="3446CDC0" w:rsidR="149DC3C9" w:rsidRPr="00035A65" w:rsidRDefault="149DC3C9" w:rsidP="00035A65">
      <w:pPr>
        <w:spacing w:after="0" w:line="240" w:lineRule="auto"/>
        <w:rPr>
          <w:rFonts w:ascii="Century Gothic" w:hAnsi="Century Gothic"/>
          <w:b/>
          <w:bCs/>
          <w:u w:val="single"/>
        </w:rPr>
      </w:pPr>
      <w:r w:rsidRPr="00035A65">
        <w:rPr>
          <w:rFonts w:ascii="Century Gothic" w:hAnsi="Century Gothic"/>
          <w:b/>
          <w:bCs/>
          <w:u w:val="single"/>
        </w:rPr>
        <w:t>Safeguarding provision</w:t>
      </w:r>
    </w:p>
    <w:p w14:paraId="595CAF1F" w14:textId="0E8D9E33" w:rsidR="149DC3C9" w:rsidRPr="00035A65" w:rsidRDefault="149DC3C9" w:rsidP="00035A65">
      <w:pPr>
        <w:spacing w:after="0" w:line="240" w:lineRule="auto"/>
        <w:rPr>
          <w:rFonts w:ascii="Century Gothic" w:hAnsi="Century Gothic"/>
          <w:b/>
          <w:bCs/>
        </w:rPr>
      </w:pPr>
      <w:r w:rsidRPr="00035A65">
        <w:rPr>
          <w:rFonts w:ascii="Century Gothic" w:hAnsi="Century Gothic"/>
          <w:b/>
          <w:bCs/>
        </w:rPr>
        <w:t>UCL will:</w:t>
      </w:r>
    </w:p>
    <w:p w14:paraId="3FFBDCD7" w14:textId="0CF8E3D0" w:rsidR="149DC3C9" w:rsidRPr="00035A65" w:rsidRDefault="149DC3C9" w:rsidP="00035A65">
      <w:pPr>
        <w:pStyle w:val="ListParagraph"/>
        <w:numPr>
          <w:ilvl w:val="0"/>
          <w:numId w:val="7"/>
        </w:numPr>
        <w:spacing w:after="0" w:line="240" w:lineRule="auto"/>
        <w:rPr>
          <w:rFonts w:ascii="Century Gothic" w:eastAsiaTheme="minorEastAsia" w:hAnsi="Century Gothic"/>
        </w:rPr>
      </w:pPr>
      <w:r w:rsidRPr="00035A65">
        <w:rPr>
          <w:rFonts w:ascii="Century Gothic" w:hAnsi="Century Gothic"/>
        </w:rPr>
        <w:t xml:space="preserve">Provide a named contact as the lead provider safeguarding lead, accessible through a contact form on the </w:t>
      </w:r>
      <w:hyperlink r:id="rId11">
        <w:r w:rsidRPr="00035A65">
          <w:rPr>
            <w:rStyle w:val="Hyperlink"/>
            <w:rFonts w:ascii="Century Gothic" w:hAnsi="Century Gothic"/>
          </w:rPr>
          <w:t>UCL ECF website</w:t>
        </w:r>
      </w:hyperlink>
    </w:p>
    <w:p w14:paraId="2116173F" w14:textId="53543EB3" w:rsidR="149DC3C9" w:rsidRPr="00035A65" w:rsidRDefault="149DC3C9" w:rsidP="00035A65">
      <w:pPr>
        <w:pStyle w:val="ListParagraph"/>
        <w:numPr>
          <w:ilvl w:val="0"/>
          <w:numId w:val="7"/>
        </w:numPr>
        <w:spacing w:after="0" w:line="240" w:lineRule="auto"/>
        <w:rPr>
          <w:rFonts w:ascii="Century Gothic" w:hAnsi="Century Gothic"/>
        </w:rPr>
      </w:pPr>
      <w:r w:rsidRPr="00035A65">
        <w:rPr>
          <w:rFonts w:ascii="Century Gothic" w:hAnsi="Century Gothic"/>
        </w:rPr>
        <w:t xml:space="preserve">Maintain a single list of Delivery Partner safeguarding </w:t>
      </w:r>
      <w:proofErr w:type="gramStart"/>
      <w:r w:rsidRPr="00035A65">
        <w:rPr>
          <w:rFonts w:ascii="Century Gothic" w:hAnsi="Century Gothic"/>
        </w:rPr>
        <w:t>leads</w:t>
      </w:r>
      <w:proofErr w:type="gramEnd"/>
    </w:p>
    <w:p w14:paraId="24D4F75B" w14:textId="36E70E86" w:rsidR="149DC3C9" w:rsidRPr="00035A65" w:rsidRDefault="149DC3C9" w:rsidP="00035A65">
      <w:pPr>
        <w:pStyle w:val="ListParagraph"/>
        <w:numPr>
          <w:ilvl w:val="0"/>
          <w:numId w:val="7"/>
        </w:numPr>
        <w:spacing w:after="0" w:line="240" w:lineRule="auto"/>
        <w:rPr>
          <w:rFonts w:ascii="Century Gothic" w:hAnsi="Century Gothic"/>
        </w:rPr>
      </w:pPr>
      <w:r w:rsidRPr="00035A65">
        <w:rPr>
          <w:rFonts w:ascii="Century Gothic" w:hAnsi="Century Gothic"/>
        </w:rPr>
        <w:t xml:space="preserve">Provide Delivery Partners with a process for reporting safeguarding </w:t>
      </w:r>
      <w:proofErr w:type="gramStart"/>
      <w:r w:rsidRPr="00035A65">
        <w:rPr>
          <w:rFonts w:ascii="Century Gothic" w:hAnsi="Century Gothic"/>
        </w:rPr>
        <w:t>concerns</w:t>
      </w:r>
      <w:proofErr w:type="gramEnd"/>
    </w:p>
    <w:p w14:paraId="62F63EC3" w14:textId="3EB79B0A" w:rsidR="149DC3C9" w:rsidRPr="00035A65" w:rsidRDefault="149DC3C9" w:rsidP="00035A65">
      <w:pPr>
        <w:pStyle w:val="ListParagraph"/>
        <w:numPr>
          <w:ilvl w:val="0"/>
          <w:numId w:val="7"/>
        </w:numPr>
        <w:spacing w:after="0" w:line="240" w:lineRule="auto"/>
        <w:rPr>
          <w:rFonts w:ascii="Century Gothic" w:hAnsi="Century Gothic"/>
        </w:rPr>
      </w:pPr>
      <w:r w:rsidRPr="00035A65">
        <w:rPr>
          <w:rFonts w:ascii="Century Gothic" w:hAnsi="Century Gothic"/>
        </w:rPr>
        <w:t xml:space="preserve">Liaise a Delivery Partner who requests collaboration in formulating a risk assessment if this is deemed </w:t>
      </w:r>
      <w:proofErr w:type="gramStart"/>
      <w:r w:rsidRPr="00035A65">
        <w:rPr>
          <w:rFonts w:ascii="Century Gothic" w:hAnsi="Century Gothic"/>
        </w:rPr>
        <w:t>necessary</w:t>
      </w:r>
      <w:proofErr w:type="gramEnd"/>
    </w:p>
    <w:p w14:paraId="5EFBD576" w14:textId="49788B43" w:rsidR="149DC3C9" w:rsidRPr="00035A65" w:rsidRDefault="149DC3C9" w:rsidP="00035A65">
      <w:pPr>
        <w:pStyle w:val="ListParagraph"/>
        <w:numPr>
          <w:ilvl w:val="0"/>
          <w:numId w:val="7"/>
        </w:numPr>
        <w:spacing w:after="0" w:line="240" w:lineRule="auto"/>
        <w:rPr>
          <w:rFonts w:ascii="Century Gothic" w:hAnsi="Century Gothic"/>
        </w:rPr>
      </w:pPr>
      <w:r w:rsidRPr="00035A65">
        <w:rPr>
          <w:rFonts w:ascii="Century Gothic" w:hAnsi="Century Gothic"/>
        </w:rPr>
        <w:t>Ensure that a Privacy Policy including data protection and Safeguarding Policy is consented to by all participants using UCL Extend</w:t>
      </w:r>
    </w:p>
    <w:p w14:paraId="2FA62535" w14:textId="3D595322" w:rsidR="149DC3C9" w:rsidRDefault="149DC3C9" w:rsidP="00035A65">
      <w:pPr>
        <w:pStyle w:val="ListParagraph"/>
        <w:numPr>
          <w:ilvl w:val="0"/>
          <w:numId w:val="7"/>
        </w:numPr>
        <w:spacing w:after="0" w:line="240" w:lineRule="auto"/>
        <w:rPr>
          <w:rFonts w:ascii="Century Gothic" w:hAnsi="Century Gothic"/>
        </w:rPr>
      </w:pPr>
      <w:r w:rsidRPr="00035A65">
        <w:rPr>
          <w:rFonts w:ascii="Century Gothic" w:hAnsi="Century Gothic"/>
        </w:rPr>
        <w:t xml:space="preserve">When visiting for QA purposes, follow the safeguarding requirements of the school, college or other educational </w:t>
      </w:r>
      <w:proofErr w:type="gramStart"/>
      <w:r w:rsidRPr="00035A65">
        <w:rPr>
          <w:rFonts w:ascii="Century Gothic" w:hAnsi="Century Gothic"/>
        </w:rPr>
        <w:t>setting</w:t>
      </w:r>
      <w:proofErr w:type="gramEnd"/>
    </w:p>
    <w:p w14:paraId="26D712F9" w14:textId="77777777" w:rsidR="00035A65" w:rsidRPr="00035A65" w:rsidRDefault="00035A65" w:rsidP="00035A65">
      <w:pPr>
        <w:pStyle w:val="ListParagraph"/>
        <w:spacing w:after="0" w:line="240" w:lineRule="auto"/>
        <w:rPr>
          <w:rFonts w:ascii="Century Gothic" w:hAnsi="Century Gothic"/>
        </w:rPr>
      </w:pPr>
    </w:p>
    <w:p w14:paraId="4B608502" w14:textId="50A891CE" w:rsidR="149DC3C9" w:rsidRPr="00035A65" w:rsidRDefault="149DC3C9" w:rsidP="00035A65">
      <w:pPr>
        <w:spacing w:after="0" w:line="240" w:lineRule="auto"/>
        <w:rPr>
          <w:rFonts w:ascii="Century Gothic" w:hAnsi="Century Gothic"/>
          <w:b/>
          <w:bCs/>
        </w:rPr>
      </w:pPr>
      <w:r w:rsidRPr="00035A65">
        <w:rPr>
          <w:rFonts w:ascii="Century Gothic" w:hAnsi="Century Gothic"/>
          <w:b/>
          <w:bCs/>
        </w:rPr>
        <w:t>The Delivery Partner will:</w:t>
      </w:r>
    </w:p>
    <w:p w14:paraId="75CAB762" w14:textId="6F241EBC" w:rsidR="149DC3C9" w:rsidRPr="00035A65" w:rsidRDefault="149DC3C9" w:rsidP="00035A65">
      <w:pPr>
        <w:pStyle w:val="ListParagraph"/>
        <w:numPr>
          <w:ilvl w:val="0"/>
          <w:numId w:val="6"/>
        </w:numPr>
        <w:spacing w:after="0" w:line="240" w:lineRule="auto"/>
        <w:rPr>
          <w:rFonts w:ascii="Century Gothic" w:eastAsiaTheme="minorEastAsia" w:hAnsi="Century Gothic"/>
        </w:rPr>
      </w:pPr>
      <w:r w:rsidRPr="00035A65">
        <w:rPr>
          <w:rFonts w:ascii="Century Gothic" w:hAnsi="Century Gothic"/>
        </w:rPr>
        <w:t xml:space="preserve">Provide a named contact as the Delivery Partner safeguarding </w:t>
      </w:r>
      <w:proofErr w:type="gramStart"/>
      <w:r w:rsidRPr="00035A65">
        <w:rPr>
          <w:rFonts w:ascii="Century Gothic" w:hAnsi="Century Gothic"/>
        </w:rPr>
        <w:t>lead</w:t>
      </w:r>
      <w:proofErr w:type="gramEnd"/>
    </w:p>
    <w:p w14:paraId="5CB8E7E9" w14:textId="069F7920" w:rsidR="149DC3C9" w:rsidRPr="00035A65" w:rsidRDefault="149DC3C9" w:rsidP="00035A65">
      <w:pPr>
        <w:pStyle w:val="ListParagraph"/>
        <w:numPr>
          <w:ilvl w:val="0"/>
          <w:numId w:val="6"/>
        </w:numPr>
        <w:spacing w:after="0" w:line="240" w:lineRule="auto"/>
        <w:rPr>
          <w:rFonts w:ascii="Century Gothic" w:hAnsi="Century Gothic"/>
        </w:rPr>
      </w:pPr>
      <w:r w:rsidRPr="00035A65">
        <w:rPr>
          <w:rFonts w:ascii="Century Gothic" w:hAnsi="Century Gothic"/>
        </w:rPr>
        <w:t>Maintain a single list of facilitators employed or contracted directly by the Delivery Partner</w:t>
      </w:r>
    </w:p>
    <w:p w14:paraId="1A7D7DA0" w14:textId="67A1005F" w:rsidR="149DC3C9" w:rsidRPr="00035A65" w:rsidRDefault="149DC3C9" w:rsidP="00035A65">
      <w:pPr>
        <w:pStyle w:val="ListParagraph"/>
        <w:numPr>
          <w:ilvl w:val="0"/>
          <w:numId w:val="6"/>
        </w:numPr>
        <w:spacing w:after="0" w:line="240" w:lineRule="auto"/>
        <w:rPr>
          <w:rFonts w:ascii="Century Gothic" w:hAnsi="Century Gothic"/>
        </w:rPr>
      </w:pPr>
      <w:r w:rsidRPr="00035A65">
        <w:rPr>
          <w:rFonts w:ascii="Century Gothic" w:hAnsi="Century Gothic"/>
        </w:rPr>
        <w:t xml:space="preserve">Provide participants with a process for reporting safeguarding </w:t>
      </w:r>
      <w:proofErr w:type="gramStart"/>
      <w:r w:rsidRPr="00035A65">
        <w:rPr>
          <w:rFonts w:ascii="Century Gothic" w:hAnsi="Century Gothic"/>
        </w:rPr>
        <w:t>concerns</w:t>
      </w:r>
      <w:proofErr w:type="gramEnd"/>
    </w:p>
    <w:p w14:paraId="2D3518BA" w14:textId="641AEDB9" w:rsidR="149DC3C9" w:rsidRPr="00035A65" w:rsidRDefault="149DC3C9" w:rsidP="00035A65">
      <w:pPr>
        <w:pStyle w:val="ListParagraph"/>
        <w:numPr>
          <w:ilvl w:val="0"/>
          <w:numId w:val="6"/>
        </w:numPr>
        <w:spacing w:after="0" w:line="240" w:lineRule="auto"/>
        <w:rPr>
          <w:rFonts w:ascii="Century Gothic" w:eastAsiaTheme="minorEastAsia" w:hAnsi="Century Gothic"/>
        </w:rPr>
      </w:pPr>
      <w:r w:rsidRPr="00035A65">
        <w:rPr>
          <w:rFonts w:ascii="Century Gothic" w:hAnsi="Century Gothic"/>
        </w:rPr>
        <w:t xml:space="preserve">Formulate a risk assessment if this is deemed </w:t>
      </w:r>
      <w:proofErr w:type="gramStart"/>
      <w:r w:rsidRPr="00035A65">
        <w:rPr>
          <w:rFonts w:ascii="Century Gothic" w:hAnsi="Century Gothic"/>
        </w:rPr>
        <w:t>necessary</w:t>
      </w:r>
      <w:proofErr w:type="gramEnd"/>
    </w:p>
    <w:p w14:paraId="41E7B1C3" w14:textId="23FFA935" w:rsidR="149DC3C9" w:rsidRPr="00035A65" w:rsidRDefault="149DC3C9" w:rsidP="00035A65">
      <w:pPr>
        <w:pStyle w:val="ListParagraph"/>
        <w:numPr>
          <w:ilvl w:val="0"/>
          <w:numId w:val="6"/>
        </w:numPr>
        <w:spacing w:after="0" w:line="240" w:lineRule="auto"/>
        <w:rPr>
          <w:rFonts w:ascii="Century Gothic" w:eastAsiaTheme="minorEastAsia" w:hAnsi="Century Gothic"/>
        </w:rPr>
      </w:pPr>
      <w:r w:rsidRPr="00035A65">
        <w:rPr>
          <w:rFonts w:ascii="Century Gothic" w:hAnsi="Century Gothic"/>
        </w:rPr>
        <w:t xml:space="preserve">When visiting for QA purposes, follow the safeguarding requirements of the school, college or other educational </w:t>
      </w:r>
      <w:proofErr w:type="gramStart"/>
      <w:r w:rsidRPr="00035A65">
        <w:rPr>
          <w:rFonts w:ascii="Century Gothic" w:hAnsi="Century Gothic"/>
        </w:rPr>
        <w:t>setting</w:t>
      </w:r>
      <w:proofErr w:type="gramEnd"/>
    </w:p>
    <w:p w14:paraId="220B2C6C" w14:textId="77777777" w:rsidR="00035A65" w:rsidRPr="00035A65" w:rsidRDefault="00035A65" w:rsidP="00035A65">
      <w:pPr>
        <w:pStyle w:val="ListParagraph"/>
        <w:spacing w:after="0" w:line="240" w:lineRule="auto"/>
        <w:rPr>
          <w:rFonts w:ascii="Century Gothic" w:eastAsiaTheme="minorEastAsia" w:hAnsi="Century Gothic"/>
        </w:rPr>
      </w:pPr>
    </w:p>
    <w:p w14:paraId="373DB6A2" w14:textId="0BEB261F" w:rsidR="149DC3C9" w:rsidRPr="00035A65" w:rsidRDefault="149DC3C9" w:rsidP="00035A65">
      <w:pPr>
        <w:spacing w:after="0" w:line="240" w:lineRule="auto"/>
        <w:rPr>
          <w:rFonts w:ascii="Century Gothic" w:hAnsi="Century Gothic"/>
          <w:b/>
          <w:bCs/>
        </w:rPr>
      </w:pPr>
      <w:r w:rsidRPr="00035A65">
        <w:rPr>
          <w:rFonts w:ascii="Century Gothic" w:hAnsi="Century Gothic"/>
          <w:b/>
          <w:bCs/>
        </w:rPr>
        <w:t>The school will:</w:t>
      </w:r>
    </w:p>
    <w:p w14:paraId="32A4E94E" w14:textId="193D8850" w:rsidR="149DC3C9" w:rsidRPr="00035A65" w:rsidRDefault="149DC3C9" w:rsidP="00035A65">
      <w:pPr>
        <w:pStyle w:val="ListParagraph"/>
        <w:numPr>
          <w:ilvl w:val="0"/>
          <w:numId w:val="5"/>
        </w:numPr>
        <w:spacing w:after="0" w:line="240" w:lineRule="auto"/>
        <w:rPr>
          <w:rFonts w:ascii="Century Gothic" w:hAnsi="Century Gothic"/>
        </w:rPr>
      </w:pPr>
      <w:r w:rsidRPr="00035A65">
        <w:rPr>
          <w:rFonts w:ascii="Century Gothic" w:hAnsi="Century Gothic"/>
        </w:rPr>
        <w:t>Have in place a safeguarding policy ratified by their Governing Body or Board of Trustees</w:t>
      </w:r>
    </w:p>
    <w:p w14:paraId="322629A8" w14:textId="06C27712" w:rsidR="149DC3C9" w:rsidRPr="00035A65" w:rsidRDefault="149DC3C9" w:rsidP="00035A65">
      <w:pPr>
        <w:pStyle w:val="ListParagraph"/>
        <w:numPr>
          <w:ilvl w:val="0"/>
          <w:numId w:val="5"/>
        </w:numPr>
        <w:spacing w:after="0" w:line="240" w:lineRule="auto"/>
        <w:rPr>
          <w:rFonts w:ascii="Century Gothic" w:hAnsi="Century Gothic"/>
        </w:rPr>
      </w:pPr>
      <w:r w:rsidRPr="00035A65">
        <w:rPr>
          <w:rFonts w:ascii="Century Gothic" w:hAnsi="Century Gothic"/>
        </w:rPr>
        <w:t xml:space="preserve">Provide the Delivery Partner with a named designated safeguarding </w:t>
      </w:r>
      <w:proofErr w:type="gramStart"/>
      <w:r w:rsidRPr="00035A65">
        <w:rPr>
          <w:rFonts w:ascii="Century Gothic" w:hAnsi="Century Gothic"/>
        </w:rPr>
        <w:t>lead</w:t>
      </w:r>
      <w:proofErr w:type="gramEnd"/>
    </w:p>
    <w:p w14:paraId="24428C20" w14:textId="29785A93" w:rsidR="149DC3C9" w:rsidRPr="00035A65" w:rsidRDefault="149DC3C9" w:rsidP="00035A65">
      <w:pPr>
        <w:pStyle w:val="ListParagraph"/>
        <w:numPr>
          <w:ilvl w:val="0"/>
          <w:numId w:val="5"/>
        </w:numPr>
        <w:spacing w:after="0" w:line="240" w:lineRule="auto"/>
        <w:rPr>
          <w:rFonts w:ascii="Century Gothic" w:eastAsiaTheme="minorEastAsia" w:hAnsi="Century Gothic"/>
        </w:rPr>
      </w:pPr>
      <w:r w:rsidRPr="00035A65">
        <w:rPr>
          <w:rFonts w:ascii="Century Gothic" w:hAnsi="Century Gothic"/>
        </w:rPr>
        <w:t>Carry out DBS checks on serving staff participating in ECF or NPQs</w:t>
      </w:r>
    </w:p>
    <w:p w14:paraId="23D87B12" w14:textId="21B400BB" w:rsidR="149DC3C9" w:rsidRDefault="149DC3C9" w:rsidP="00035A65">
      <w:pPr>
        <w:pStyle w:val="ListParagraph"/>
        <w:numPr>
          <w:ilvl w:val="0"/>
          <w:numId w:val="5"/>
        </w:numPr>
        <w:spacing w:after="0" w:line="240" w:lineRule="auto"/>
        <w:rPr>
          <w:rFonts w:ascii="Century Gothic" w:hAnsi="Century Gothic"/>
        </w:rPr>
      </w:pPr>
      <w:r w:rsidRPr="00035A65">
        <w:rPr>
          <w:rFonts w:ascii="Century Gothic" w:hAnsi="Century Gothic"/>
        </w:rPr>
        <w:t>Maintain a single list that includes staff participating in ECF or NPQs</w:t>
      </w:r>
    </w:p>
    <w:p w14:paraId="118CC314" w14:textId="77777777" w:rsidR="00035A65" w:rsidRPr="00035A65" w:rsidRDefault="00035A65" w:rsidP="00035A65">
      <w:pPr>
        <w:pStyle w:val="ListParagraph"/>
        <w:spacing w:after="0" w:line="240" w:lineRule="auto"/>
        <w:rPr>
          <w:rFonts w:ascii="Century Gothic" w:hAnsi="Century Gothic"/>
        </w:rPr>
      </w:pPr>
    </w:p>
    <w:p w14:paraId="738E9FE8" w14:textId="4333611C" w:rsidR="149DC3C9" w:rsidRPr="00035A65" w:rsidRDefault="149DC3C9" w:rsidP="00035A65">
      <w:pPr>
        <w:spacing w:after="0" w:line="240" w:lineRule="auto"/>
        <w:rPr>
          <w:rFonts w:ascii="Century Gothic" w:hAnsi="Century Gothic"/>
          <w:b/>
          <w:bCs/>
          <w:u w:val="single"/>
        </w:rPr>
      </w:pPr>
      <w:r w:rsidRPr="00035A65">
        <w:rPr>
          <w:rFonts w:ascii="Century Gothic" w:hAnsi="Century Gothic"/>
          <w:b/>
          <w:bCs/>
          <w:u w:val="single"/>
        </w:rPr>
        <w:t>Reporting safeguarding concerns.</w:t>
      </w:r>
    </w:p>
    <w:p w14:paraId="6D962980" w14:textId="60249222" w:rsidR="0696D008" w:rsidRDefault="0696D008" w:rsidP="00035A65">
      <w:pPr>
        <w:spacing w:after="0" w:line="240" w:lineRule="auto"/>
        <w:rPr>
          <w:rFonts w:ascii="Century Gothic" w:eastAsia="Calibri" w:hAnsi="Century Gothic" w:cs="Calibri"/>
          <w:color w:val="000000" w:themeColor="text1"/>
        </w:rPr>
      </w:pPr>
      <w:r w:rsidRPr="00035A65">
        <w:rPr>
          <w:rFonts w:ascii="Century Gothic" w:hAnsi="Century Gothic"/>
        </w:rPr>
        <w:t xml:space="preserve">All reporting from disclosure must, wherever possible, occur on the working day of disclosure or as soon as practicable from that point. </w:t>
      </w:r>
      <w:r w:rsidR="1530A303" w:rsidRPr="00035A65">
        <w:rPr>
          <w:rFonts w:ascii="Century Gothic" w:eastAsia="Calibri" w:hAnsi="Century Gothic" w:cs="Calibri"/>
          <w:color w:val="000000" w:themeColor="text1"/>
        </w:rPr>
        <w:t>All parties to this policy must ensure that documentation is securely stored and only accessible to the respect safeguarding lead.</w:t>
      </w:r>
    </w:p>
    <w:p w14:paraId="76070135" w14:textId="77777777" w:rsidR="00035A65" w:rsidRPr="00035A65" w:rsidRDefault="00035A65" w:rsidP="00035A65">
      <w:pPr>
        <w:spacing w:after="0" w:line="240" w:lineRule="auto"/>
        <w:rPr>
          <w:rFonts w:ascii="Century Gothic" w:eastAsia="Calibri" w:hAnsi="Century Gothic" w:cs="Calibri"/>
          <w:color w:val="000000" w:themeColor="text1"/>
        </w:rPr>
      </w:pPr>
    </w:p>
    <w:p w14:paraId="53BD51E7" w14:textId="64B3B815" w:rsidR="149DC3C9" w:rsidRPr="00035A65" w:rsidRDefault="2BD3370F" w:rsidP="00035A65">
      <w:pPr>
        <w:spacing w:after="0" w:line="240" w:lineRule="auto"/>
        <w:rPr>
          <w:rFonts w:ascii="Century Gothic" w:hAnsi="Century Gothic"/>
          <w:b/>
          <w:bCs/>
        </w:rPr>
      </w:pPr>
      <w:r w:rsidRPr="00035A65">
        <w:rPr>
          <w:rFonts w:ascii="Century Gothic" w:hAnsi="Century Gothic"/>
          <w:b/>
          <w:bCs/>
        </w:rPr>
        <w:t>In the event of a participant disclosing a safeguarding concern to a facilitator, Delivery Partner representative or UCL representative.</w:t>
      </w:r>
    </w:p>
    <w:p w14:paraId="02947C58" w14:textId="7B8F3496" w:rsidR="2BD3370F" w:rsidRPr="00035A65" w:rsidRDefault="2BD3370F" w:rsidP="00035A65">
      <w:pPr>
        <w:pStyle w:val="ListParagraph"/>
        <w:numPr>
          <w:ilvl w:val="0"/>
          <w:numId w:val="4"/>
        </w:numPr>
        <w:spacing w:after="0" w:line="240" w:lineRule="auto"/>
        <w:rPr>
          <w:rFonts w:ascii="Century Gothic" w:eastAsiaTheme="minorEastAsia" w:hAnsi="Century Gothic"/>
        </w:rPr>
      </w:pPr>
      <w:r w:rsidRPr="00035A65">
        <w:rPr>
          <w:rFonts w:ascii="Century Gothic" w:hAnsi="Century Gothic"/>
        </w:rPr>
        <w:t>The facilitator or representative must inform the participant that they cannot promise confidentiality and may need to report the disclosure.</w:t>
      </w:r>
    </w:p>
    <w:p w14:paraId="164E38C2" w14:textId="25C19BC0" w:rsidR="2BD3370F" w:rsidRPr="00035A65" w:rsidRDefault="2BD3370F" w:rsidP="00035A65">
      <w:pPr>
        <w:pStyle w:val="ListParagraph"/>
        <w:numPr>
          <w:ilvl w:val="0"/>
          <w:numId w:val="4"/>
        </w:numPr>
        <w:spacing w:after="0" w:line="240" w:lineRule="auto"/>
        <w:rPr>
          <w:rFonts w:ascii="Century Gothic" w:eastAsiaTheme="minorEastAsia" w:hAnsi="Century Gothic"/>
        </w:rPr>
      </w:pPr>
      <w:r w:rsidRPr="00035A65">
        <w:rPr>
          <w:rFonts w:ascii="Century Gothic" w:hAnsi="Century Gothic"/>
        </w:rPr>
        <w:t>The participant should be heard in a manner that is not interrogatory, does not lead the account and does not offer a judgement.</w:t>
      </w:r>
    </w:p>
    <w:p w14:paraId="5DD21238" w14:textId="3D5332C1" w:rsidR="2BD3370F" w:rsidRPr="00035A65" w:rsidRDefault="2BD3370F" w:rsidP="00035A65">
      <w:pPr>
        <w:pStyle w:val="ListParagraph"/>
        <w:numPr>
          <w:ilvl w:val="0"/>
          <w:numId w:val="4"/>
        </w:numPr>
        <w:spacing w:after="0" w:line="240" w:lineRule="auto"/>
        <w:rPr>
          <w:rFonts w:ascii="Century Gothic" w:hAnsi="Century Gothic"/>
        </w:rPr>
      </w:pPr>
      <w:r w:rsidRPr="00035A65">
        <w:rPr>
          <w:rFonts w:ascii="Century Gothic" w:hAnsi="Century Gothic"/>
        </w:rPr>
        <w:t>The facilitator or representative should complete a safeguarding referral as soon as possible after the disclosure.</w:t>
      </w:r>
    </w:p>
    <w:p w14:paraId="258289F9" w14:textId="6174A219" w:rsidR="2BD3370F" w:rsidRPr="00035A65" w:rsidRDefault="2BD3370F" w:rsidP="00035A65">
      <w:pPr>
        <w:pStyle w:val="ListParagraph"/>
        <w:numPr>
          <w:ilvl w:val="0"/>
          <w:numId w:val="4"/>
        </w:numPr>
        <w:spacing w:after="0" w:line="240" w:lineRule="auto"/>
        <w:rPr>
          <w:rFonts w:ascii="Century Gothic" w:eastAsiaTheme="minorEastAsia" w:hAnsi="Century Gothic"/>
        </w:rPr>
      </w:pPr>
      <w:r w:rsidRPr="00035A65">
        <w:rPr>
          <w:rFonts w:ascii="Century Gothic" w:hAnsi="Century Gothic"/>
        </w:rPr>
        <w:t>The referral should be sent to the Delivery Partner safeguarding lead named contact.</w:t>
      </w:r>
    </w:p>
    <w:p w14:paraId="1FD76CB6" w14:textId="61DB57A3" w:rsidR="2BD3370F" w:rsidRPr="00035A65" w:rsidRDefault="2BD3370F" w:rsidP="00035A65">
      <w:pPr>
        <w:pStyle w:val="ListParagraph"/>
        <w:numPr>
          <w:ilvl w:val="0"/>
          <w:numId w:val="4"/>
        </w:numPr>
        <w:spacing w:after="0" w:line="240" w:lineRule="auto"/>
        <w:rPr>
          <w:rFonts w:ascii="Century Gothic" w:eastAsiaTheme="minorEastAsia" w:hAnsi="Century Gothic"/>
        </w:rPr>
      </w:pPr>
      <w:r w:rsidRPr="00035A65">
        <w:rPr>
          <w:rFonts w:ascii="Century Gothic" w:hAnsi="Century Gothic"/>
        </w:rPr>
        <w:lastRenderedPageBreak/>
        <w:t>The referral must not be retained or otherwise communicated by the facilitator or representative.</w:t>
      </w:r>
    </w:p>
    <w:p w14:paraId="19664587" w14:textId="1D3BCA70" w:rsidR="2BD3370F" w:rsidRPr="00035A65" w:rsidRDefault="2BD3370F" w:rsidP="00035A65">
      <w:pPr>
        <w:pStyle w:val="ListParagraph"/>
        <w:numPr>
          <w:ilvl w:val="0"/>
          <w:numId w:val="4"/>
        </w:numPr>
        <w:spacing w:after="0" w:line="240" w:lineRule="auto"/>
        <w:rPr>
          <w:rFonts w:ascii="Century Gothic" w:eastAsiaTheme="minorEastAsia" w:hAnsi="Century Gothic"/>
        </w:rPr>
      </w:pPr>
      <w:r w:rsidRPr="00035A65">
        <w:rPr>
          <w:rFonts w:ascii="Century Gothic" w:hAnsi="Century Gothic"/>
        </w:rPr>
        <w:t xml:space="preserve">The Delivery Partner safeguarding lead named contact should communicate the referral to the school designated safeguarding lead. The referral should be actioned in accordance with the school safeguarding policy. The two </w:t>
      </w:r>
      <w:proofErr w:type="gramStart"/>
      <w:r w:rsidRPr="00035A65">
        <w:rPr>
          <w:rFonts w:ascii="Century Gothic" w:hAnsi="Century Gothic"/>
        </w:rPr>
        <w:t>leads</w:t>
      </w:r>
      <w:proofErr w:type="gramEnd"/>
      <w:r w:rsidRPr="00035A65">
        <w:rPr>
          <w:rFonts w:ascii="Century Gothic" w:hAnsi="Century Gothic"/>
        </w:rPr>
        <w:t xml:space="preserve"> should agree a follow-up meeting to review the actions, which may include a risk assessment, taken by the school in response to the referral.</w:t>
      </w:r>
    </w:p>
    <w:p w14:paraId="3C174BDE" w14:textId="55085281" w:rsidR="2BD3370F" w:rsidRPr="00035A65" w:rsidRDefault="2BD3370F" w:rsidP="00035A65">
      <w:pPr>
        <w:pStyle w:val="ListParagraph"/>
        <w:numPr>
          <w:ilvl w:val="0"/>
          <w:numId w:val="4"/>
        </w:numPr>
        <w:spacing w:after="0" w:line="240" w:lineRule="auto"/>
        <w:rPr>
          <w:rFonts w:ascii="Century Gothic" w:eastAsiaTheme="minorEastAsia" w:hAnsi="Century Gothic"/>
        </w:rPr>
      </w:pPr>
      <w:r w:rsidRPr="00035A65">
        <w:rPr>
          <w:rFonts w:ascii="Century Gothic" w:hAnsi="Century Gothic"/>
        </w:rPr>
        <w:t xml:space="preserve">The Delivery Partner safeguarding lead should notify the lead provider safeguarding lead that a referral has been generated, the name of the participant and their school. The two leads should agree an update meeting for a point after the Delivery Partner and school lead follow-up meeting. </w:t>
      </w:r>
    </w:p>
    <w:p w14:paraId="41E005C3" w14:textId="05C64CD0" w:rsidR="2BD3370F" w:rsidRPr="00035A65" w:rsidRDefault="2BD3370F" w:rsidP="00035A65">
      <w:pPr>
        <w:pStyle w:val="ListParagraph"/>
        <w:numPr>
          <w:ilvl w:val="0"/>
          <w:numId w:val="4"/>
        </w:numPr>
        <w:spacing w:after="0" w:line="240" w:lineRule="auto"/>
        <w:rPr>
          <w:rFonts w:ascii="Century Gothic" w:eastAsiaTheme="minorEastAsia" w:hAnsi="Century Gothic"/>
        </w:rPr>
      </w:pPr>
      <w:r w:rsidRPr="00035A65">
        <w:rPr>
          <w:rFonts w:ascii="Century Gothic" w:hAnsi="Century Gothic"/>
        </w:rPr>
        <w:t>The referral and subsequent updates should be held by the Delivery Partner safeguarding lead only for so long as the matter remains open.  When the school designated safeguarding lead confirms that that concern is closed only the school should retain the relevant documents.</w:t>
      </w:r>
    </w:p>
    <w:p w14:paraId="237D7319" w14:textId="77777777" w:rsidR="00035A65" w:rsidRPr="00035A65" w:rsidRDefault="00035A65" w:rsidP="007D6033">
      <w:pPr>
        <w:pStyle w:val="ListParagraph"/>
        <w:spacing w:after="0" w:line="240" w:lineRule="auto"/>
        <w:rPr>
          <w:rFonts w:ascii="Century Gothic" w:eastAsiaTheme="minorEastAsia" w:hAnsi="Century Gothic"/>
        </w:rPr>
      </w:pPr>
    </w:p>
    <w:p w14:paraId="30E602D1" w14:textId="69EC90CB" w:rsidR="2BD3370F" w:rsidRPr="00035A65" w:rsidRDefault="2BD3370F" w:rsidP="00035A65">
      <w:pPr>
        <w:spacing w:after="0" w:line="240" w:lineRule="auto"/>
        <w:rPr>
          <w:rFonts w:ascii="Century Gothic" w:hAnsi="Century Gothic"/>
          <w:b/>
          <w:bCs/>
        </w:rPr>
      </w:pPr>
      <w:r w:rsidRPr="00035A65">
        <w:rPr>
          <w:rFonts w:ascii="Century Gothic" w:hAnsi="Century Gothic"/>
          <w:b/>
          <w:bCs/>
        </w:rPr>
        <w:t xml:space="preserve">In the event of a participant exhibiting </w:t>
      </w:r>
      <w:proofErr w:type="spellStart"/>
      <w:r w:rsidRPr="00035A65">
        <w:rPr>
          <w:rFonts w:ascii="Century Gothic" w:hAnsi="Century Gothic"/>
          <w:b/>
          <w:bCs/>
        </w:rPr>
        <w:t>behaviour</w:t>
      </w:r>
      <w:proofErr w:type="spellEnd"/>
      <w:r w:rsidRPr="00035A65">
        <w:rPr>
          <w:rFonts w:ascii="Century Gothic" w:hAnsi="Century Gothic"/>
          <w:b/>
          <w:bCs/>
        </w:rPr>
        <w:t xml:space="preserve"> or disclosing information that causes a facilitator, Delivery Partner representative or UCL representative to have cause for concern.</w:t>
      </w:r>
    </w:p>
    <w:p w14:paraId="12F2C740" w14:textId="0A64C304" w:rsidR="2BD3370F" w:rsidRPr="00035A65" w:rsidRDefault="2BD3370F" w:rsidP="00035A65">
      <w:pPr>
        <w:pStyle w:val="ListParagraph"/>
        <w:numPr>
          <w:ilvl w:val="0"/>
          <w:numId w:val="3"/>
        </w:numPr>
        <w:spacing w:after="0" w:line="240" w:lineRule="auto"/>
        <w:rPr>
          <w:rFonts w:ascii="Century Gothic" w:eastAsiaTheme="minorEastAsia" w:hAnsi="Century Gothic"/>
        </w:rPr>
      </w:pPr>
      <w:r w:rsidRPr="00035A65">
        <w:rPr>
          <w:rFonts w:ascii="Century Gothic" w:hAnsi="Century Gothic"/>
        </w:rPr>
        <w:t>The facilitator or representative should complete a safeguarding referral as soon as possible after cause for concern occurs.</w:t>
      </w:r>
    </w:p>
    <w:p w14:paraId="753F4EB5" w14:textId="0AB82160" w:rsidR="2BD3370F" w:rsidRPr="00035A65" w:rsidRDefault="2BD3370F" w:rsidP="00035A65">
      <w:pPr>
        <w:pStyle w:val="ListParagraph"/>
        <w:numPr>
          <w:ilvl w:val="0"/>
          <w:numId w:val="3"/>
        </w:numPr>
        <w:spacing w:after="0" w:line="240" w:lineRule="auto"/>
        <w:rPr>
          <w:rFonts w:ascii="Century Gothic" w:eastAsiaTheme="minorEastAsia" w:hAnsi="Century Gothic"/>
        </w:rPr>
      </w:pPr>
      <w:r w:rsidRPr="00035A65">
        <w:rPr>
          <w:rFonts w:ascii="Century Gothic" w:hAnsi="Century Gothic"/>
        </w:rPr>
        <w:t>The referral should be sent to the Delivery Partner safeguarding lead named contact.</w:t>
      </w:r>
    </w:p>
    <w:p w14:paraId="3AFF3413" w14:textId="61DB57A3" w:rsidR="2BD3370F" w:rsidRPr="00035A65" w:rsidRDefault="2BD3370F" w:rsidP="00035A65">
      <w:pPr>
        <w:pStyle w:val="ListParagraph"/>
        <w:numPr>
          <w:ilvl w:val="0"/>
          <w:numId w:val="3"/>
        </w:numPr>
        <w:spacing w:after="0" w:line="240" w:lineRule="auto"/>
        <w:rPr>
          <w:rFonts w:ascii="Century Gothic" w:eastAsiaTheme="minorEastAsia" w:hAnsi="Century Gothic"/>
        </w:rPr>
      </w:pPr>
      <w:r w:rsidRPr="00035A65">
        <w:rPr>
          <w:rFonts w:ascii="Century Gothic" w:hAnsi="Century Gothic"/>
        </w:rPr>
        <w:t>The referral must not be retained or otherwise communicated by the facilitator or representative.</w:t>
      </w:r>
    </w:p>
    <w:p w14:paraId="4C474F10" w14:textId="1D3BCA70" w:rsidR="2BD3370F" w:rsidRPr="00035A65" w:rsidRDefault="2BD3370F" w:rsidP="00035A65">
      <w:pPr>
        <w:pStyle w:val="ListParagraph"/>
        <w:numPr>
          <w:ilvl w:val="0"/>
          <w:numId w:val="3"/>
        </w:numPr>
        <w:spacing w:after="0" w:line="240" w:lineRule="auto"/>
        <w:rPr>
          <w:rFonts w:ascii="Century Gothic" w:eastAsiaTheme="minorEastAsia" w:hAnsi="Century Gothic"/>
        </w:rPr>
      </w:pPr>
      <w:r w:rsidRPr="00035A65">
        <w:rPr>
          <w:rFonts w:ascii="Century Gothic" w:hAnsi="Century Gothic"/>
        </w:rPr>
        <w:t xml:space="preserve">The Delivery Partner safeguarding lead named contact should communicate the referral to the school designated safeguarding lead. The referral should be actioned in accordance with the school safeguarding policy. The two </w:t>
      </w:r>
      <w:proofErr w:type="gramStart"/>
      <w:r w:rsidRPr="00035A65">
        <w:rPr>
          <w:rFonts w:ascii="Century Gothic" w:hAnsi="Century Gothic"/>
        </w:rPr>
        <w:t>leads</w:t>
      </w:r>
      <w:proofErr w:type="gramEnd"/>
      <w:r w:rsidRPr="00035A65">
        <w:rPr>
          <w:rFonts w:ascii="Century Gothic" w:hAnsi="Century Gothic"/>
        </w:rPr>
        <w:t xml:space="preserve"> should agree a follow-up meeting to review the actions, which may include a risk assessment, taken by the school in response to the referral.</w:t>
      </w:r>
    </w:p>
    <w:p w14:paraId="5AF1645F" w14:textId="55085281" w:rsidR="2BD3370F" w:rsidRPr="00035A65" w:rsidRDefault="2BD3370F" w:rsidP="00035A65">
      <w:pPr>
        <w:pStyle w:val="ListParagraph"/>
        <w:numPr>
          <w:ilvl w:val="0"/>
          <w:numId w:val="3"/>
        </w:numPr>
        <w:spacing w:after="0" w:line="240" w:lineRule="auto"/>
        <w:rPr>
          <w:rFonts w:ascii="Century Gothic" w:eastAsiaTheme="minorEastAsia" w:hAnsi="Century Gothic"/>
        </w:rPr>
      </w:pPr>
      <w:r w:rsidRPr="00035A65">
        <w:rPr>
          <w:rFonts w:ascii="Century Gothic" w:hAnsi="Century Gothic"/>
        </w:rPr>
        <w:t xml:space="preserve">The Delivery Partner safeguarding lead should notify the lead provider safeguarding lead that a referral has been generated, the name of the participant and their school. The two leads should agree an update meeting for a point after the Delivery Partner and school lead follow-up meeting. </w:t>
      </w:r>
    </w:p>
    <w:p w14:paraId="40595E17" w14:textId="55211386" w:rsidR="2BD3370F" w:rsidRPr="007D6033" w:rsidRDefault="2BD3370F" w:rsidP="00035A65">
      <w:pPr>
        <w:pStyle w:val="ListParagraph"/>
        <w:numPr>
          <w:ilvl w:val="0"/>
          <w:numId w:val="3"/>
        </w:numPr>
        <w:spacing w:after="0" w:line="240" w:lineRule="auto"/>
        <w:rPr>
          <w:rFonts w:ascii="Century Gothic" w:eastAsiaTheme="minorEastAsia" w:hAnsi="Century Gothic"/>
        </w:rPr>
      </w:pPr>
      <w:r w:rsidRPr="00035A65">
        <w:rPr>
          <w:rFonts w:ascii="Century Gothic" w:hAnsi="Century Gothic"/>
        </w:rPr>
        <w:t>The referral and subsequent updates should be held by the Delivery Partner safeguarding lead only for so long as the matter remains open.  When the school designated safeguarding lead confirms that that concern is closed only the school should retain the relevant documents.</w:t>
      </w:r>
    </w:p>
    <w:p w14:paraId="70F6CFBF" w14:textId="77777777" w:rsidR="007D6033" w:rsidRPr="00035A65" w:rsidRDefault="007D6033" w:rsidP="007D6033">
      <w:pPr>
        <w:pStyle w:val="ListParagraph"/>
        <w:spacing w:after="0" w:line="240" w:lineRule="auto"/>
        <w:rPr>
          <w:rFonts w:ascii="Century Gothic" w:eastAsiaTheme="minorEastAsia" w:hAnsi="Century Gothic"/>
        </w:rPr>
      </w:pPr>
    </w:p>
    <w:p w14:paraId="00481D13" w14:textId="5BC9EC25" w:rsidR="2BD3370F" w:rsidRPr="00035A65" w:rsidRDefault="2BD3370F" w:rsidP="00035A65">
      <w:pPr>
        <w:spacing w:after="0" w:line="240" w:lineRule="auto"/>
        <w:rPr>
          <w:rFonts w:ascii="Century Gothic" w:hAnsi="Century Gothic"/>
          <w:b/>
          <w:bCs/>
        </w:rPr>
      </w:pPr>
      <w:r w:rsidRPr="00035A65">
        <w:rPr>
          <w:rFonts w:ascii="Century Gothic" w:hAnsi="Century Gothic"/>
          <w:b/>
          <w:bCs/>
        </w:rPr>
        <w:t>In the event of a participant disclosure or concern regarding a facilitator or representative of the Delivery Partner.</w:t>
      </w:r>
    </w:p>
    <w:p w14:paraId="2943B6A6" w14:textId="7838F691" w:rsidR="2BD3370F" w:rsidRPr="00035A65" w:rsidRDefault="2BD3370F" w:rsidP="00035A65">
      <w:pPr>
        <w:pStyle w:val="ListParagraph"/>
        <w:numPr>
          <w:ilvl w:val="0"/>
          <w:numId w:val="2"/>
        </w:numPr>
        <w:spacing w:after="0" w:line="240" w:lineRule="auto"/>
        <w:rPr>
          <w:rFonts w:ascii="Century Gothic" w:hAnsi="Century Gothic"/>
        </w:rPr>
      </w:pPr>
      <w:r w:rsidRPr="00035A65">
        <w:rPr>
          <w:rFonts w:ascii="Century Gothic" w:hAnsi="Century Gothic"/>
        </w:rPr>
        <w:t>The referral should be completed by the Delivery Partner safeguarding lead as soon as possible after the incident.</w:t>
      </w:r>
    </w:p>
    <w:p w14:paraId="0B0D78F5" w14:textId="686B3EFC" w:rsidR="2BD3370F" w:rsidRPr="00035A65" w:rsidRDefault="2BD3370F" w:rsidP="00035A65">
      <w:pPr>
        <w:pStyle w:val="ListParagraph"/>
        <w:numPr>
          <w:ilvl w:val="0"/>
          <w:numId w:val="2"/>
        </w:numPr>
        <w:spacing w:after="0" w:line="240" w:lineRule="auto"/>
        <w:rPr>
          <w:rFonts w:ascii="Century Gothic" w:hAnsi="Century Gothic"/>
        </w:rPr>
      </w:pPr>
      <w:r w:rsidRPr="00035A65">
        <w:rPr>
          <w:rFonts w:ascii="Century Gothic" w:hAnsi="Century Gothic"/>
        </w:rPr>
        <w:t>The disclosure or concern should be actioned in accordance with the safeguarding policy of the school in which the Delivery Partner is based.</w:t>
      </w:r>
    </w:p>
    <w:p w14:paraId="727998B0" w14:textId="1FCC1433" w:rsidR="2BD3370F" w:rsidRPr="00035A65" w:rsidRDefault="2BD3370F" w:rsidP="00035A65">
      <w:pPr>
        <w:pStyle w:val="ListParagraph"/>
        <w:numPr>
          <w:ilvl w:val="0"/>
          <w:numId w:val="2"/>
        </w:numPr>
        <w:spacing w:after="0" w:line="240" w:lineRule="auto"/>
        <w:rPr>
          <w:rFonts w:ascii="Century Gothic" w:eastAsiaTheme="minorEastAsia" w:hAnsi="Century Gothic"/>
        </w:rPr>
      </w:pPr>
      <w:r w:rsidRPr="00035A65">
        <w:rPr>
          <w:rFonts w:ascii="Century Gothic" w:hAnsi="Century Gothic"/>
        </w:rPr>
        <w:t xml:space="preserve">The Delivery Partner safeguarding lead should notify the lead provider safeguarding lead that a referral has been generated. The two leads should agree a follow-up meeting to review the actions, which may include a risk assessment, taken by the Delivery Partner in response to the referral. </w:t>
      </w:r>
    </w:p>
    <w:p w14:paraId="0F2CC85B" w14:textId="478CCAF2" w:rsidR="2BD3370F" w:rsidRPr="007D6033" w:rsidRDefault="2BD3370F" w:rsidP="00035A65">
      <w:pPr>
        <w:pStyle w:val="ListParagraph"/>
        <w:numPr>
          <w:ilvl w:val="0"/>
          <w:numId w:val="2"/>
        </w:numPr>
        <w:spacing w:after="0" w:line="240" w:lineRule="auto"/>
        <w:rPr>
          <w:rFonts w:ascii="Century Gothic" w:eastAsiaTheme="minorEastAsia" w:hAnsi="Century Gothic"/>
        </w:rPr>
      </w:pPr>
      <w:r w:rsidRPr="00035A65">
        <w:rPr>
          <w:rFonts w:ascii="Century Gothic" w:hAnsi="Century Gothic"/>
        </w:rPr>
        <w:t>The Delivery Partner safeguarding lead should retain the relevant documents.</w:t>
      </w:r>
    </w:p>
    <w:p w14:paraId="7F5289CA" w14:textId="77777777" w:rsidR="007D6033" w:rsidRPr="00035A65" w:rsidRDefault="007D6033" w:rsidP="007D6033">
      <w:pPr>
        <w:pStyle w:val="ListParagraph"/>
        <w:spacing w:after="0" w:line="240" w:lineRule="auto"/>
        <w:rPr>
          <w:rFonts w:ascii="Century Gothic" w:eastAsiaTheme="minorEastAsia" w:hAnsi="Century Gothic"/>
        </w:rPr>
      </w:pPr>
    </w:p>
    <w:p w14:paraId="3B045194" w14:textId="0771C7A6" w:rsidR="2BD3370F" w:rsidRPr="00035A65" w:rsidRDefault="2BD3370F" w:rsidP="00035A65">
      <w:pPr>
        <w:spacing w:after="0" w:line="240" w:lineRule="auto"/>
        <w:rPr>
          <w:rFonts w:ascii="Century Gothic" w:hAnsi="Century Gothic"/>
          <w:b/>
          <w:bCs/>
        </w:rPr>
      </w:pPr>
      <w:r w:rsidRPr="00035A65">
        <w:rPr>
          <w:rFonts w:ascii="Century Gothic" w:hAnsi="Century Gothic"/>
          <w:b/>
          <w:bCs/>
        </w:rPr>
        <w:t>In the event of a participant or Delivery Partner representative disclosure or concern regarding a representative of the lead provider.</w:t>
      </w:r>
    </w:p>
    <w:p w14:paraId="5684FD20" w14:textId="312185F0" w:rsidR="2BD3370F" w:rsidRPr="00035A65" w:rsidRDefault="2BD3370F" w:rsidP="00035A65">
      <w:pPr>
        <w:pStyle w:val="ListParagraph"/>
        <w:numPr>
          <w:ilvl w:val="0"/>
          <w:numId w:val="2"/>
        </w:numPr>
        <w:spacing w:after="0" w:line="240" w:lineRule="auto"/>
        <w:rPr>
          <w:rFonts w:ascii="Century Gothic" w:hAnsi="Century Gothic"/>
        </w:rPr>
      </w:pPr>
      <w:r w:rsidRPr="00035A65">
        <w:rPr>
          <w:rFonts w:ascii="Century Gothic" w:hAnsi="Century Gothic"/>
        </w:rPr>
        <w:t>The referral should be completed by the lead provider safeguarding lead as soon as possible after the incident.</w:t>
      </w:r>
    </w:p>
    <w:p w14:paraId="1E1600AE" w14:textId="57A971C1" w:rsidR="2BD3370F" w:rsidRPr="00035A65" w:rsidRDefault="2BD3370F" w:rsidP="00035A65">
      <w:pPr>
        <w:pStyle w:val="ListParagraph"/>
        <w:numPr>
          <w:ilvl w:val="0"/>
          <w:numId w:val="2"/>
        </w:numPr>
        <w:spacing w:after="0" w:line="240" w:lineRule="auto"/>
        <w:rPr>
          <w:rFonts w:ascii="Century Gothic" w:hAnsi="Century Gothic"/>
        </w:rPr>
      </w:pPr>
      <w:r w:rsidRPr="00035A65">
        <w:rPr>
          <w:rFonts w:ascii="Century Gothic" w:hAnsi="Century Gothic"/>
        </w:rPr>
        <w:t>The disclosure or concern should be actioned in accordance with the safeguarding policy of UCL.</w:t>
      </w:r>
    </w:p>
    <w:p w14:paraId="4223BA4B" w14:textId="797D7035" w:rsidR="2BD3370F" w:rsidRPr="00035A65" w:rsidRDefault="2BD3370F" w:rsidP="00035A65">
      <w:pPr>
        <w:pStyle w:val="ListParagraph"/>
        <w:numPr>
          <w:ilvl w:val="0"/>
          <w:numId w:val="2"/>
        </w:numPr>
        <w:spacing w:after="0" w:line="240" w:lineRule="auto"/>
        <w:rPr>
          <w:rFonts w:ascii="Century Gothic" w:eastAsiaTheme="minorEastAsia" w:hAnsi="Century Gothic"/>
        </w:rPr>
      </w:pPr>
      <w:r w:rsidRPr="00035A65">
        <w:rPr>
          <w:rFonts w:ascii="Century Gothic" w:hAnsi="Century Gothic"/>
        </w:rPr>
        <w:t xml:space="preserve">The lead provider safeguarding lead should notify the Delivery Partner safeguarding lead that a referral has been generated. The two leads should </w:t>
      </w:r>
      <w:proofErr w:type="gramStart"/>
      <w:r w:rsidRPr="00035A65">
        <w:rPr>
          <w:rFonts w:ascii="Century Gothic" w:hAnsi="Century Gothic"/>
        </w:rPr>
        <w:t>agree</w:t>
      </w:r>
      <w:proofErr w:type="gramEnd"/>
      <w:r w:rsidRPr="00035A65">
        <w:rPr>
          <w:rFonts w:ascii="Century Gothic" w:hAnsi="Century Gothic"/>
        </w:rPr>
        <w:t xml:space="preserve"> a follow-up meeting to review the actions, which may include a risk assessment, taken by the lead provider in response to the referral. </w:t>
      </w:r>
    </w:p>
    <w:p w14:paraId="7E554944" w14:textId="2A6BBAEC" w:rsidR="2BD3370F" w:rsidRPr="00035A65" w:rsidRDefault="2BD3370F" w:rsidP="00035A65">
      <w:pPr>
        <w:pStyle w:val="ListParagraph"/>
        <w:numPr>
          <w:ilvl w:val="0"/>
          <w:numId w:val="2"/>
        </w:numPr>
        <w:spacing w:after="0" w:line="240" w:lineRule="auto"/>
        <w:rPr>
          <w:rFonts w:ascii="Century Gothic" w:eastAsiaTheme="minorEastAsia" w:hAnsi="Century Gothic"/>
        </w:rPr>
      </w:pPr>
      <w:r w:rsidRPr="00035A65">
        <w:rPr>
          <w:rFonts w:ascii="Century Gothic" w:hAnsi="Century Gothic"/>
        </w:rPr>
        <w:t>The lead provider safeguarding lead should retain the relevant documents.</w:t>
      </w:r>
    </w:p>
    <w:p w14:paraId="04C6C5C3" w14:textId="77777777" w:rsidR="007D6033" w:rsidRDefault="007D6033" w:rsidP="00035A65">
      <w:pPr>
        <w:spacing w:after="0" w:line="240" w:lineRule="auto"/>
        <w:rPr>
          <w:rFonts w:ascii="Century Gothic" w:hAnsi="Century Gothic"/>
          <w:u w:val="single"/>
        </w:rPr>
      </w:pPr>
    </w:p>
    <w:p w14:paraId="2CE5FDB6" w14:textId="77777777" w:rsidR="007D6033" w:rsidRDefault="007D6033" w:rsidP="00035A65">
      <w:pPr>
        <w:spacing w:after="0" w:line="240" w:lineRule="auto"/>
        <w:rPr>
          <w:rFonts w:ascii="Century Gothic" w:hAnsi="Century Gothic"/>
          <w:u w:val="single"/>
        </w:rPr>
      </w:pPr>
    </w:p>
    <w:p w14:paraId="4ED9DD37" w14:textId="589D7D8A" w:rsidR="149DC3C9" w:rsidRPr="00035A65" w:rsidRDefault="149DC3C9" w:rsidP="00035A65">
      <w:pPr>
        <w:spacing w:after="0" w:line="240" w:lineRule="auto"/>
        <w:rPr>
          <w:rFonts w:ascii="Century Gothic" w:hAnsi="Century Gothic"/>
          <w:u w:val="single"/>
        </w:rPr>
      </w:pPr>
      <w:r w:rsidRPr="00035A65">
        <w:rPr>
          <w:rFonts w:ascii="Century Gothic" w:hAnsi="Century Gothic"/>
          <w:u w:val="single"/>
        </w:rPr>
        <w:t>Prevent.</w:t>
      </w:r>
    </w:p>
    <w:p w14:paraId="3A47ACF0" w14:textId="28C49F9F" w:rsidR="149DC3C9" w:rsidRPr="00035A65" w:rsidRDefault="149DC3C9" w:rsidP="00035A65">
      <w:pPr>
        <w:spacing w:after="0" w:line="240" w:lineRule="auto"/>
        <w:rPr>
          <w:rFonts w:ascii="Century Gothic" w:hAnsi="Century Gothic"/>
          <w:i/>
          <w:iCs/>
        </w:rPr>
      </w:pPr>
      <w:r w:rsidRPr="00035A65">
        <w:rPr>
          <w:rFonts w:ascii="Century Gothic" w:hAnsi="Century Gothic"/>
          <w:i/>
          <w:iCs/>
        </w:rPr>
        <w:t xml:space="preserve">19.  The </w:t>
      </w:r>
      <w:proofErr w:type="gramStart"/>
      <w:r w:rsidRPr="00035A65">
        <w:rPr>
          <w:rFonts w:ascii="Century Gothic" w:hAnsi="Century Gothic"/>
          <w:i/>
          <w:iCs/>
        </w:rPr>
        <w:t>Counter-Terrorism</w:t>
      </w:r>
      <w:proofErr w:type="gramEnd"/>
      <w:r w:rsidRPr="00035A65">
        <w:rPr>
          <w:rFonts w:ascii="Century Gothic" w:hAnsi="Century Gothic"/>
          <w:i/>
          <w:iCs/>
        </w:rPr>
        <w:t xml:space="preserve"> and Security Act 2015 (CTSA) created a statutory duty for specified public authorities to 'have due regard to the need to prevent people from being drawn into terrorism'. Prevent is one of four strands of the government’s counter-terrorism strategy. Compliance with the duty in England is monitored by the Office for Students. The UCL approach to Prevent is primarily one of safeguarding the welfare of our students and staff. This is balanced against our commitment to freedom of speech and other key </w:t>
      </w:r>
      <w:proofErr w:type="gramStart"/>
      <w:r w:rsidRPr="00035A65">
        <w:rPr>
          <w:rFonts w:ascii="Century Gothic" w:hAnsi="Century Gothic"/>
          <w:i/>
          <w:iCs/>
        </w:rPr>
        <w:t>legislation</w:t>
      </w:r>
      <w:proofErr w:type="gramEnd"/>
    </w:p>
    <w:p w14:paraId="6D03D0EE" w14:textId="5EBAD960" w:rsidR="149DC3C9" w:rsidRPr="00035A65" w:rsidRDefault="149DC3C9" w:rsidP="00035A65">
      <w:pPr>
        <w:spacing w:after="0" w:line="240" w:lineRule="auto"/>
        <w:rPr>
          <w:rFonts w:ascii="Century Gothic" w:hAnsi="Century Gothic"/>
        </w:rPr>
      </w:pPr>
      <w:r w:rsidRPr="00035A65">
        <w:rPr>
          <w:rFonts w:ascii="Century Gothic" w:hAnsi="Century Gothic"/>
        </w:rPr>
        <w:t>UCL requests that Delivery Partners inform the named lead provider safeguarding lead if they have had cause to raise a Prevent-related concern with the school of an ECF or NPQ participant or have acted on a Prevent-related concern regarding a person contracted or employed by the Delivery Partner in relation to ECF or NPQ.</w:t>
      </w:r>
    </w:p>
    <w:p w14:paraId="337C8EF9" w14:textId="0E42FC26" w:rsidR="2BD3370F" w:rsidRPr="00035A65" w:rsidRDefault="2BD3370F" w:rsidP="00035A65">
      <w:pPr>
        <w:spacing w:after="0" w:line="240" w:lineRule="auto"/>
        <w:rPr>
          <w:rFonts w:ascii="Century Gothic" w:hAnsi="Century Gothic"/>
        </w:rPr>
      </w:pPr>
    </w:p>
    <w:p w14:paraId="3B4492E9" w14:textId="3BF78E29" w:rsidR="2BD3370F" w:rsidRPr="00035A65" w:rsidRDefault="2BD3370F" w:rsidP="00035A65">
      <w:pPr>
        <w:spacing w:after="0" w:line="240" w:lineRule="auto"/>
        <w:rPr>
          <w:rFonts w:ascii="Century Gothic" w:hAnsi="Century Gothic"/>
        </w:rPr>
      </w:pPr>
      <w:r w:rsidRPr="00035A65">
        <w:rPr>
          <w:rFonts w:ascii="Century Gothic" w:hAnsi="Century Gothic"/>
          <w:b/>
          <w:bCs/>
          <w:u w:val="single"/>
        </w:rPr>
        <w:t>Documents associated with this policy.</w:t>
      </w:r>
    </w:p>
    <w:p w14:paraId="14377307" w14:textId="670674B7" w:rsidR="2BD3370F" w:rsidRPr="00035A65" w:rsidRDefault="2BD3370F" w:rsidP="00035A65">
      <w:pPr>
        <w:pStyle w:val="ListParagraph"/>
        <w:numPr>
          <w:ilvl w:val="0"/>
          <w:numId w:val="1"/>
        </w:numPr>
        <w:spacing w:after="0" w:line="240" w:lineRule="auto"/>
        <w:rPr>
          <w:rFonts w:ascii="Century Gothic" w:eastAsiaTheme="minorEastAsia" w:hAnsi="Century Gothic"/>
          <w:b/>
          <w:bCs/>
        </w:rPr>
      </w:pPr>
      <w:r w:rsidRPr="00035A65">
        <w:rPr>
          <w:rFonts w:ascii="Century Gothic" w:hAnsi="Century Gothic"/>
        </w:rPr>
        <w:t xml:space="preserve">ECF and NPQ Safeguarding risk assessment </w:t>
      </w:r>
      <w:proofErr w:type="gramStart"/>
      <w:r w:rsidRPr="00035A65">
        <w:rPr>
          <w:rFonts w:ascii="Century Gothic" w:hAnsi="Century Gothic"/>
        </w:rPr>
        <w:t>template</w:t>
      </w:r>
      <w:proofErr w:type="gramEnd"/>
    </w:p>
    <w:p w14:paraId="634781F8" w14:textId="745FF646" w:rsidR="2BD3370F" w:rsidRPr="00035A65" w:rsidRDefault="2BD3370F" w:rsidP="00035A65">
      <w:pPr>
        <w:pStyle w:val="ListParagraph"/>
        <w:numPr>
          <w:ilvl w:val="0"/>
          <w:numId w:val="1"/>
        </w:numPr>
        <w:spacing w:after="0" w:line="240" w:lineRule="auto"/>
        <w:rPr>
          <w:rFonts w:ascii="Century Gothic" w:hAnsi="Century Gothic"/>
          <w:b/>
          <w:bCs/>
        </w:rPr>
      </w:pPr>
      <w:r w:rsidRPr="00035A65">
        <w:rPr>
          <w:rFonts w:ascii="Century Gothic" w:hAnsi="Century Gothic"/>
        </w:rPr>
        <w:t xml:space="preserve">ECF and NPQ Safeguarding referral </w:t>
      </w:r>
      <w:proofErr w:type="gramStart"/>
      <w:r w:rsidRPr="00035A65">
        <w:rPr>
          <w:rFonts w:ascii="Century Gothic" w:hAnsi="Century Gothic"/>
        </w:rPr>
        <w:t>form</w:t>
      </w:r>
      <w:proofErr w:type="gramEnd"/>
    </w:p>
    <w:sectPr w:rsidR="2BD3370F" w:rsidRPr="00035A65" w:rsidSect="00B01BA7">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09F0"/>
    <w:multiLevelType w:val="hybridMultilevel"/>
    <w:tmpl w:val="D93A2006"/>
    <w:lvl w:ilvl="0" w:tplc="E9F05018">
      <w:start w:val="1"/>
      <w:numFmt w:val="bullet"/>
      <w:lvlText w:val=""/>
      <w:lvlJc w:val="left"/>
      <w:pPr>
        <w:ind w:left="720" w:hanging="360"/>
      </w:pPr>
      <w:rPr>
        <w:rFonts w:ascii="Symbol" w:hAnsi="Symbol" w:hint="default"/>
      </w:rPr>
    </w:lvl>
    <w:lvl w:ilvl="1" w:tplc="0A42C094">
      <w:start w:val="1"/>
      <w:numFmt w:val="bullet"/>
      <w:lvlText w:val="o"/>
      <w:lvlJc w:val="left"/>
      <w:pPr>
        <w:ind w:left="1440" w:hanging="360"/>
      </w:pPr>
      <w:rPr>
        <w:rFonts w:ascii="Courier New" w:hAnsi="Courier New" w:hint="default"/>
      </w:rPr>
    </w:lvl>
    <w:lvl w:ilvl="2" w:tplc="6EDC8DB2">
      <w:start w:val="1"/>
      <w:numFmt w:val="bullet"/>
      <w:lvlText w:val=""/>
      <w:lvlJc w:val="left"/>
      <w:pPr>
        <w:ind w:left="2160" w:hanging="360"/>
      </w:pPr>
      <w:rPr>
        <w:rFonts w:ascii="Wingdings" w:hAnsi="Wingdings" w:hint="default"/>
      </w:rPr>
    </w:lvl>
    <w:lvl w:ilvl="3" w:tplc="747E9656">
      <w:start w:val="1"/>
      <w:numFmt w:val="bullet"/>
      <w:lvlText w:val=""/>
      <w:lvlJc w:val="left"/>
      <w:pPr>
        <w:ind w:left="2880" w:hanging="360"/>
      </w:pPr>
      <w:rPr>
        <w:rFonts w:ascii="Symbol" w:hAnsi="Symbol" w:hint="default"/>
      </w:rPr>
    </w:lvl>
    <w:lvl w:ilvl="4" w:tplc="E024854C">
      <w:start w:val="1"/>
      <w:numFmt w:val="bullet"/>
      <w:lvlText w:val="o"/>
      <w:lvlJc w:val="left"/>
      <w:pPr>
        <w:ind w:left="3600" w:hanging="360"/>
      </w:pPr>
      <w:rPr>
        <w:rFonts w:ascii="Courier New" w:hAnsi="Courier New" w:hint="default"/>
      </w:rPr>
    </w:lvl>
    <w:lvl w:ilvl="5" w:tplc="322AF8C6">
      <w:start w:val="1"/>
      <w:numFmt w:val="bullet"/>
      <w:lvlText w:val=""/>
      <w:lvlJc w:val="left"/>
      <w:pPr>
        <w:ind w:left="4320" w:hanging="360"/>
      </w:pPr>
      <w:rPr>
        <w:rFonts w:ascii="Wingdings" w:hAnsi="Wingdings" w:hint="default"/>
      </w:rPr>
    </w:lvl>
    <w:lvl w:ilvl="6" w:tplc="8D2EA398">
      <w:start w:val="1"/>
      <w:numFmt w:val="bullet"/>
      <w:lvlText w:val=""/>
      <w:lvlJc w:val="left"/>
      <w:pPr>
        <w:ind w:left="5040" w:hanging="360"/>
      </w:pPr>
      <w:rPr>
        <w:rFonts w:ascii="Symbol" w:hAnsi="Symbol" w:hint="default"/>
      </w:rPr>
    </w:lvl>
    <w:lvl w:ilvl="7" w:tplc="A34AF73A">
      <w:start w:val="1"/>
      <w:numFmt w:val="bullet"/>
      <w:lvlText w:val="o"/>
      <w:lvlJc w:val="left"/>
      <w:pPr>
        <w:ind w:left="5760" w:hanging="360"/>
      </w:pPr>
      <w:rPr>
        <w:rFonts w:ascii="Courier New" w:hAnsi="Courier New" w:hint="default"/>
      </w:rPr>
    </w:lvl>
    <w:lvl w:ilvl="8" w:tplc="30B4B2A4">
      <w:start w:val="1"/>
      <w:numFmt w:val="bullet"/>
      <w:lvlText w:val=""/>
      <w:lvlJc w:val="left"/>
      <w:pPr>
        <w:ind w:left="6480" w:hanging="360"/>
      </w:pPr>
      <w:rPr>
        <w:rFonts w:ascii="Wingdings" w:hAnsi="Wingdings" w:hint="default"/>
      </w:rPr>
    </w:lvl>
  </w:abstractNum>
  <w:abstractNum w:abstractNumId="1" w15:restartNumberingAfterBreak="0">
    <w:nsid w:val="12A73BF4"/>
    <w:multiLevelType w:val="hybridMultilevel"/>
    <w:tmpl w:val="93C6A924"/>
    <w:lvl w:ilvl="0" w:tplc="7AF237F0">
      <w:start w:val="1"/>
      <w:numFmt w:val="bullet"/>
      <w:lvlText w:val=""/>
      <w:lvlJc w:val="left"/>
      <w:pPr>
        <w:ind w:left="720" w:hanging="360"/>
      </w:pPr>
      <w:rPr>
        <w:rFonts w:ascii="Symbol" w:hAnsi="Symbol" w:hint="default"/>
      </w:rPr>
    </w:lvl>
    <w:lvl w:ilvl="1" w:tplc="3CFAB250">
      <w:start w:val="1"/>
      <w:numFmt w:val="bullet"/>
      <w:lvlText w:val="o"/>
      <w:lvlJc w:val="left"/>
      <w:pPr>
        <w:ind w:left="1440" w:hanging="360"/>
      </w:pPr>
      <w:rPr>
        <w:rFonts w:ascii="Courier New" w:hAnsi="Courier New" w:hint="default"/>
      </w:rPr>
    </w:lvl>
    <w:lvl w:ilvl="2" w:tplc="2ABCEDC0">
      <w:start w:val="1"/>
      <w:numFmt w:val="bullet"/>
      <w:lvlText w:val=""/>
      <w:lvlJc w:val="left"/>
      <w:pPr>
        <w:ind w:left="2160" w:hanging="360"/>
      </w:pPr>
      <w:rPr>
        <w:rFonts w:ascii="Wingdings" w:hAnsi="Wingdings" w:hint="default"/>
      </w:rPr>
    </w:lvl>
    <w:lvl w:ilvl="3" w:tplc="82928C90">
      <w:start w:val="1"/>
      <w:numFmt w:val="bullet"/>
      <w:lvlText w:val=""/>
      <w:lvlJc w:val="left"/>
      <w:pPr>
        <w:ind w:left="2880" w:hanging="360"/>
      </w:pPr>
      <w:rPr>
        <w:rFonts w:ascii="Symbol" w:hAnsi="Symbol" w:hint="default"/>
      </w:rPr>
    </w:lvl>
    <w:lvl w:ilvl="4" w:tplc="F4ECA542">
      <w:start w:val="1"/>
      <w:numFmt w:val="bullet"/>
      <w:lvlText w:val="o"/>
      <w:lvlJc w:val="left"/>
      <w:pPr>
        <w:ind w:left="3600" w:hanging="360"/>
      </w:pPr>
      <w:rPr>
        <w:rFonts w:ascii="Courier New" w:hAnsi="Courier New" w:hint="default"/>
      </w:rPr>
    </w:lvl>
    <w:lvl w:ilvl="5" w:tplc="4492E092">
      <w:start w:val="1"/>
      <w:numFmt w:val="bullet"/>
      <w:lvlText w:val=""/>
      <w:lvlJc w:val="left"/>
      <w:pPr>
        <w:ind w:left="4320" w:hanging="360"/>
      </w:pPr>
      <w:rPr>
        <w:rFonts w:ascii="Wingdings" w:hAnsi="Wingdings" w:hint="default"/>
      </w:rPr>
    </w:lvl>
    <w:lvl w:ilvl="6" w:tplc="D96CA392">
      <w:start w:val="1"/>
      <w:numFmt w:val="bullet"/>
      <w:lvlText w:val=""/>
      <w:lvlJc w:val="left"/>
      <w:pPr>
        <w:ind w:left="5040" w:hanging="360"/>
      </w:pPr>
      <w:rPr>
        <w:rFonts w:ascii="Symbol" w:hAnsi="Symbol" w:hint="default"/>
      </w:rPr>
    </w:lvl>
    <w:lvl w:ilvl="7" w:tplc="85BC0FE2">
      <w:start w:val="1"/>
      <w:numFmt w:val="bullet"/>
      <w:lvlText w:val="o"/>
      <w:lvlJc w:val="left"/>
      <w:pPr>
        <w:ind w:left="5760" w:hanging="360"/>
      </w:pPr>
      <w:rPr>
        <w:rFonts w:ascii="Courier New" w:hAnsi="Courier New" w:hint="default"/>
      </w:rPr>
    </w:lvl>
    <w:lvl w:ilvl="8" w:tplc="C862D5BC">
      <w:start w:val="1"/>
      <w:numFmt w:val="bullet"/>
      <w:lvlText w:val=""/>
      <w:lvlJc w:val="left"/>
      <w:pPr>
        <w:ind w:left="6480" w:hanging="360"/>
      </w:pPr>
      <w:rPr>
        <w:rFonts w:ascii="Wingdings" w:hAnsi="Wingdings" w:hint="default"/>
      </w:rPr>
    </w:lvl>
  </w:abstractNum>
  <w:abstractNum w:abstractNumId="2" w15:restartNumberingAfterBreak="0">
    <w:nsid w:val="2F6C7F41"/>
    <w:multiLevelType w:val="hybridMultilevel"/>
    <w:tmpl w:val="6B284D52"/>
    <w:lvl w:ilvl="0" w:tplc="92869122">
      <w:start w:val="1"/>
      <w:numFmt w:val="bullet"/>
      <w:lvlText w:val=""/>
      <w:lvlJc w:val="left"/>
      <w:pPr>
        <w:ind w:left="720" w:hanging="360"/>
      </w:pPr>
      <w:rPr>
        <w:rFonts w:ascii="Symbol" w:hAnsi="Symbol" w:hint="default"/>
      </w:rPr>
    </w:lvl>
    <w:lvl w:ilvl="1" w:tplc="660C68C4">
      <w:start w:val="1"/>
      <w:numFmt w:val="bullet"/>
      <w:lvlText w:val="o"/>
      <w:lvlJc w:val="left"/>
      <w:pPr>
        <w:ind w:left="1440" w:hanging="360"/>
      </w:pPr>
      <w:rPr>
        <w:rFonts w:ascii="Courier New" w:hAnsi="Courier New" w:hint="default"/>
      </w:rPr>
    </w:lvl>
    <w:lvl w:ilvl="2" w:tplc="ABA67C64">
      <w:start w:val="1"/>
      <w:numFmt w:val="bullet"/>
      <w:lvlText w:val=""/>
      <w:lvlJc w:val="left"/>
      <w:pPr>
        <w:ind w:left="2160" w:hanging="360"/>
      </w:pPr>
      <w:rPr>
        <w:rFonts w:ascii="Wingdings" w:hAnsi="Wingdings" w:hint="default"/>
      </w:rPr>
    </w:lvl>
    <w:lvl w:ilvl="3" w:tplc="A6C0C654">
      <w:start w:val="1"/>
      <w:numFmt w:val="bullet"/>
      <w:lvlText w:val=""/>
      <w:lvlJc w:val="left"/>
      <w:pPr>
        <w:ind w:left="2880" w:hanging="360"/>
      </w:pPr>
      <w:rPr>
        <w:rFonts w:ascii="Symbol" w:hAnsi="Symbol" w:hint="default"/>
      </w:rPr>
    </w:lvl>
    <w:lvl w:ilvl="4" w:tplc="0534DD9E">
      <w:start w:val="1"/>
      <w:numFmt w:val="bullet"/>
      <w:lvlText w:val="o"/>
      <w:lvlJc w:val="left"/>
      <w:pPr>
        <w:ind w:left="3600" w:hanging="360"/>
      </w:pPr>
      <w:rPr>
        <w:rFonts w:ascii="Courier New" w:hAnsi="Courier New" w:hint="default"/>
      </w:rPr>
    </w:lvl>
    <w:lvl w:ilvl="5" w:tplc="97D2E2F4">
      <w:start w:val="1"/>
      <w:numFmt w:val="bullet"/>
      <w:lvlText w:val=""/>
      <w:lvlJc w:val="left"/>
      <w:pPr>
        <w:ind w:left="4320" w:hanging="360"/>
      </w:pPr>
      <w:rPr>
        <w:rFonts w:ascii="Wingdings" w:hAnsi="Wingdings" w:hint="default"/>
      </w:rPr>
    </w:lvl>
    <w:lvl w:ilvl="6" w:tplc="58D8BAA8">
      <w:start w:val="1"/>
      <w:numFmt w:val="bullet"/>
      <w:lvlText w:val=""/>
      <w:lvlJc w:val="left"/>
      <w:pPr>
        <w:ind w:left="5040" w:hanging="360"/>
      </w:pPr>
      <w:rPr>
        <w:rFonts w:ascii="Symbol" w:hAnsi="Symbol" w:hint="default"/>
      </w:rPr>
    </w:lvl>
    <w:lvl w:ilvl="7" w:tplc="3FFCF254">
      <w:start w:val="1"/>
      <w:numFmt w:val="bullet"/>
      <w:lvlText w:val="o"/>
      <w:lvlJc w:val="left"/>
      <w:pPr>
        <w:ind w:left="5760" w:hanging="360"/>
      </w:pPr>
      <w:rPr>
        <w:rFonts w:ascii="Courier New" w:hAnsi="Courier New" w:hint="default"/>
      </w:rPr>
    </w:lvl>
    <w:lvl w:ilvl="8" w:tplc="027ED354">
      <w:start w:val="1"/>
      <w:numFmt w:val="bullet"/>
      <w:lvlText w:val=""/>
      <w:lvlJc w:val="left"/>
      <w:pPr>
        <w:ind w:left="6480" w:hanging="360"/>
      </w:pPr>
      <w:rPr>
        <w:rFonts w:ascii="Wingdings" w:hAnsi="Wingdings" w:hint="default"/>
      </w:rPr>
    </w:lvl>
  </w:abstractNum>
  <w:abstractNum w:abstractNumId="3" w15:restartNumberingAfterBreak="0">
    <w:nsid w:val="44251347"/>
    <w:multiLevelType w:val="hybridMultilevel"/>
    <w:tmpl w:val="9DDC8178"/>
    <w:lvl w:ilvl="0" w:tplc="38765CB8">
      <w:start w:val="1"/>
      <w:numFmt w:val="bullet"/>
      <w:lvlText w:val=""/>
      <w:lvlJc w:val="left"/>
      <w:pPr>
        <w:ind w:left="720" w:hanging="360"/>
      </w:pPr>
      <w:rPr>
        <w:rFonts w:ascii="Symbol" w:hAnsi="Symbol" w:hint="default"/>
      </w:rPr>
    </w:lvl>
    <w:lvl w:ilvl="1" w:tplc="89889732">
      <w:start w:val="1"/>
      <w:numFmt w:val="bullet"/>
      <w:lvlText w:val="o"/>
      <w:lvlJc w:val="left"/>
      <w:pPr>
        <w:ind w:left="1440" w:hanging="360"/>
      </w:pPr>
      <w:rPr>
        <w:rFonts w:ascii="Courier New" w:hAnsi="Courier New" w:hint="default"/>
      </w:rPr>
    </w:lvl>
    <w:lvl w:ilvl="2" w:tplc="E110C02A">
      <w:start w:val="1"/>
      <w:numFmt w:val="bullet"/>
      <w:lvlText w:val=""/>
      <w:lvlJc w:val="left"/>
      <w:pPr>
        <w:ind w:left="2160" w:hanging="360"/>
      </w:pPr>
      <w:rPr>
        <w:rFonts w:ascii="Wingdings" w:hAnsi="Wingdings" w:hint="default"/>
      </w:rPr>
    </w:lvl>
    <w:lvl w:ilvl="3" w:tplc="8DA0C0F0">
      <w:start w:val="1"/>
      <w:numFmt w:val="bullet"/>
      <w:lvlText w:val=""/>
      <w:lvlJc w:val="left"/>
      <w:pPr>
        <w:ind w:left="2880" w:hanging="360"/>
      </w:pPr>
      <w:rPr>
        <w:rFonts w:ascii="Symbol" w:hAnsi="Symbol" w:hint="default"/>
      </w:rPr>
    </w:lvl>
    <w:lvl w:ilvl="4" w:tplc="37F872DC">
      <w:start w:val="1"/>
      <w:numFmt w:val="bullet"/>
      <w:lvlText w:val="o"/>
      <w:lvlJc w:val="left"/>
      <w:pPr>
        <w:ind w:left="3600" w:hanging="360"/>
      </w:pPr>
      <w:rPr>
        <w:rFonts w:ascii="Courier New" w:hAnsi="Courier New" w:hint="default"/>
      </w:rPr>
    </w:lvl>
    <w:lvl w:ilvl="5" w:tplc="C18A7562">
      <w:start w:val="1"/>
      <w:numFmt w:val="bullet"/>
      <w:lvlText w:val=""/>
      <w:lvlJc w:val="left"/>
      <w:pPr>
        <w:ind w:left="4320" w:hanging="360"/>
      </w:pPr>
      <w:rPr>
        <w:rFonts w:ascii="Wingdings" w:hAnsi="Wingdings" w:hint="default"/>
      </w:rPr>
    </w:lvl>
    <w:lvl w:ilvl="6" w:tplc="B816A978">
      <w:start w:val="1"/>
      <w:numFmt w:val="bullet"/>
      <w:lvlText w:val=""/>
      <w:lvlJc w:val="left"/>
      <w:pPr>
        <w:ind w:left="5040" w:hanging="360"/>
      </w:pPr>
      <w:rPr>
        <w:rFonts w:ascii="Symbol" w:hAnsi="Symbol" w:hint="default"/>
      </w:rPr>
    </w:lvl>
    <w:lvl w:ilvl="7" w:tplc="DA824AE2">
      <w:start w:val="1"/>
      <w:numFmt w:val="bullet"/>
      <w:lvlText w:val="o"/>
      <w:lvlJc w:val="left"/>
      <w:pPr>
        <w:ind w:left="5760" w:hanging="360"/>
      </w:pPr>
      <w:rPr>
        <w:rFonts w:ascii="Courier New" w:hAnsi="Courier New" w:hint="default"/>
      </w:rPr>
    </w:lvl>
    <w:lvl w:ilvl="8" w:tplc="4DF641E4">
      <w:start w:val="1"/>
      <w:numFmt w:val="bullet"/>
      <w:lvlText w:val=""/>
      <w:lvlJc w:val="left"/>
      <w:pPr>
        <w:ind w:left="6480" w:hanging="360"/>
      </w:pPr>
      <w:rPr>
        <w:rFonts w:ascii="Wingdings" w:hAnsi="Wingdings" w:hint="default"/>
      </w:rPr>
    </w:lvl>
  </w:abstractNum>
  <w:abstractNum w:abstractNumId="4" w15:restartNumberingAfterBreak="0">
    <w:nsid w:val="54A03460"/>
    <w:multiLevelType w:val="hybridMultilevel"/>
    <w:tmpl w:val="25B4C192"/>
    <w:lvl w:ilvl="0" w:tplc="82F44202">
      <w:start w:val="1"/>
      <w:numFmt w:val="bullet"/>
      <w:lvlText w:val=""/>
      <w:lvlJc w:val="left"/>
      <w:pPr>
        <w:ind w:left="720" w:hanging="360"/>
      </w:pPr>
      <w:rPr>
        <w:rFonts w:ascii="Symbol" w:hAnsi="Symbol" w:hint="default"/>
      </w:rPr>
    </w:lvl>
    <w:lvl w:ilvl="1" w:tplc="9424989A">
      <w:start w:val="1"/>
      <w:numFmt w:val="bullet"/>
      <w:lvlText w:val="o"/>
      <w:lvlJc w:val="left"/>
      <w:pPr>
        <w:ind w:left="1440" w:hanging="360"/>
      </w:pPr>
      <w:rPr>
        <w:rFonts w:ascii="Courier New" w:hAnsi="Courier New" w:hint="default"/>
      </w:rPr>
    </w:lvl>
    <w:lvl w:ilvl="2" w:tplc="B7D2ACC4">
      <w:start w:val="1"/>
      <w:numFmt w:val="bullet"/>
      <w:lvlText w:val=""/>
      <w:lvlJc w:val="left"/>
      <w:pPr>
        <w:ind w:left="2160" w:hanging="360"/>
      </w:pPr>
      <w:rPr>
        <w:rFonts w:ascii="Wingdings" w:hAnsi="Wingdings" w:hint="default"/>
      </w:rPr>
    </w:lvl>
    <w:lvl w:ilvl="3" w:tplc="6820EC0E">
      <w:start w:val="1"/>
      <w:numFmt w:val="bullet"/>
      <w:lvlText w:val=""/>
      <w:lvlJc w:val="left"/>
      <w:pPr>
        <w:ind w:left="2880" w:hanging="360"/>
      </w:pPr>
      <w:rPr>
        <w:rFonts w:ascii="Symbol" w:hAnsi="Symbol" w:hint="default"/>
      </w:rPr>
    </w:lvl>
    <w:lvl w:ilvl="4" w:tplc="5FEE8E60">
      <w:start w:val="1"/>
      <w:numFmt w:val="bullet"/>
      <w:lvlText w:val="o"/>
      <w:lvlJc w:val="left"/>
      <w:pPr>
        <w:ind w:left="3600" w:hanging="360"/>
      </w:pPr>
      <w:rPr>
        <w:rFonts w:ascii="Courier New" w:hAnsi="Courier New" w:hint="default"/>
      </w:rPr>
    </w:lvl>
    <w:lvl w:ilvl="5" w:tplc="6AB8AFCA">
      <w:start w:val="1"/>
      <w:numFmt w:val="bullet"/>
      <w:lvlText w:val=""/>
      <w:lvlJc w:val="left"/>
      <w:pPr>
        <w:ind w:left="4320" w:hanging="360"/>
      </w:pPr>
      <w:rPr>
        <w:rFonts w:ascii="Wingdings" w:hAnsi="Wingdings" w:hint="default"/>
      </w:rPr>
    </w:lvl>
    <w:lvl w:ilvl="6" w:tplc="4A90C852">
      <w:start w:val="1"/>
      <w:numFmt w:val="bullet"/>
      <w:lvlText w:val=""/>
      <w:lvlJc w:val="left"/>
      <w:pPr>
        <w:ind w:left="5040" w:hanging="360"/>
      </w:pPr>
      <w:rPr>
        <w:rFonts w:ascii="Symbol" w:hAnsi="Symbol" w:hint="default"/>
      </w:rPr>
    </w:lvl>
    <w:lvl w:ilvl="7" w:tplc="713C772E">
      <w:start w:val="1"/>
      <w:numFmt w:val="bullet"/>
      <w:lvlText w:val="o"/>
      <w:lvlJc w:val="left"/>
      <w:pPr>
        <w:ind w:left="5760" w:hanging="360"/>
      </w:pPr>
      <w:rPr>
        <w:rFonts w:ascii="Courier New" w:hAnsi="Courier New" w:hint="default"/>
      </w:rPr>
    </w:lvl>
    <w:lvl w:ilvl="8" w:tplc="BF1E53B8">
      <w:start w:val="1"/>
      <w:numFmt w:val="bullet"/>
      <w:lvlText w:val=""/>
      <w:lvlJc w:val="left"/>
      <w:pPr>
        <w:ind w:left="6480" w:hanging="360"/>
      </w:pPr>
      <w:rPr>
        <w:rFonts w:ascii="Wingdings" w:hAnsi="Wingdings" w:hint="default"/>
      </w:rPr>
    </w:lvl>
  </w:abstractNum>
  <w:abstractNum w:abstractNumId="5" w15:restartNumberingAfterBreak="0">
    <w:nsid w:val="56F966D9"/>
    <w:multiLevelType w:val="hybridMultilevel"/>
    <w:tmpl w:val="BE0429CE"/>
    <w:lvl w:ilvl="0" w:tplc="0B3C735A">
      <w:start w:val="1"/>
      <w:numFmt w:val="bullet"/>
      <w:lvlText w:val=""/>
      <w:lvlJc w:val="left"/>
      <w:pPr>
        <w:ind w:left="720" w:hanging="360"/>
      </w:pPr>
      <w:rPr>
        <w:rFonts w:ascii="Symbol" w:hAnsi="Symbol" w:hint="default"/>
      </w:rPr>
    </w:lvl>
    <w:lvl w:ilvl="1" w:tplc="D4A44906">
      <w:start w:val="1"/>
      <w:numFmt w:val="bullet"/>
      <w:lvlText w:val="o"/>
      <w:lvlJc w:val="left"/>
      <w:pPr>
        <w:ind w:left="1440" w:hanging="360"/>
      </w:pPr>
      <w:rPr>
        <w:rFonts w:ascii="Courier New" w:hAnsi="Courier New" w:hint="default"/>
      </w:rPr>
    </w:lvl>
    <w:lvl w:ilvl="2" w:tplc="F4DE690A">
      <w:start w:val="1"/>
      <w:numFmt w:val="bullet"/>
      <w:lvlText w:val=""/>
      <w:lvlJc w:val="left"/>
      <w:pPr>
        <w:ind w:left="2160" w:hanging="360"/>
      </w:pPr>
      <w:rPr>
        <w:rFonts w:ascii="Wingdings" w:hAnsi="Wingdings" w:hint="default"/>
      </w:rPr>
    </w:lvl>
    <w:lvl w:ilvl="3" w:tplc="4594AC1C">
      <w:start w:val="1"/>
      <w:numFmt w:val="bullet"/>
      <w:lvlText w:val=""/>
      <w:lvlJc w:val="left"/>
      <w:pPr>
        <w:ind w:left="2880" w:hanging="360"/>
      </w:pPr>
      <w:rPr>
        <w:rFonts w:ascii="Symbol" w:hAnsi="Symbol" w:hint="default"/>
      </w:rPr>
    </w:lvl>
    <w:lvl w:ilvl="4" w:tplc="3D1E3C14">
      <w:start w:val="1"/>
      <w:numFmt w:val="bullet"/>
      <w:lvlText w:val="o"/>
      <w:lvlJc w:val="left"/>
      <w:pPr>
        <w:ind w:left="3600" w:hanging="360"/>
      </w:pPr>
      <w:rPr>
        <w:rFonts w:ascii="Courier New" w:hAnsi="Courier New" w:hint="default"/>
      </w:rPr>
    </w:lvl>
    <w:lvl w:ilvl="5" w:tplc="3932A65A">
      <w:start w:val="1"/>
      <w:numFmt w:val="bullet"/>
      <w:lvlText w:val=""/>
      <w:lvlJc w:val="left"/>
      <w:pPr>
        <w:ind w:left="4320" w:hanging="360"/>
      </w:pPr>
      <w:rPr>
        <w:rFonts w:ascii="Wingdings" w:hAnsi="Wingdings" w:hint="default"/>
      </w:rPr>
    </w:lvl>
    <w:lvl w:ilvl="6" w:tplc="62B2A172">
      <w:start w:val="1"/>
      <w:numFmt w:val="bullet"/>
      <w:lvlText w:val=""/>
      <w:lvlJc w:val="left"/>
      <w:pPr>
        <w:ind w:left="5040" w:hanging="360"/>
      </w:pPr>
      <w:rPr>
        <w:rFonts w:ascii="Symbol" w:hAnsi="Symbol" w:hint="default"/>
      </w:rPr>
    </w:lvl>
    <w:lvl w:ilvl="7" w:tplc="1C2AD82C">
      <w:start w:val="1"/>
      <w:numFmt w:val="bullet"/>
      <w:lvlText w:val="o"/>
      <w:lvlJc w:val="left"/>
      <w:pPr>
        <w:ind w:left="5760" w:hanging="360"/>
      </w:pPr>
      <w:rPr>
        <w:rFonts w:ascii="Courier New" w:hAnsi="Courier New" w:hint="default"/>
      </w:rPr>
    </w:lvl>
    <w:lvl w:ilvl="8" w:tplc="8C807642">
      <w:start w:val="1"/>
      <w:numFmt w:val="bullet"/>
      <w:lvlText w:val=""/>
      <w:lvlJc w:val="left"/>
      <w:pPr>
        <w:ind w:left="6480" w:hanging="360"/>
      </w:pPr>
      <w:rPr>
        <w:rFonts w:ascii="Wingdings" w:hAnsi="Wingdings" w:hint="default"/>
      </w:rPr>
    </w:lvl>
  </w:abstractNum>
  <w:abstractNum w:abstractNumId="6" w15:restartNumberingAfterBreak="0">
    <w:nsid w:val="5C8514CD"/>
    <w:multiLevelType w:val="hybridMultilevel"/>
    <w:tmpl w:val="4FC6E4FC"/>
    <w:lvl w:ilvl="0" w:tplc="40521BBA">
      <w:start w:val="1"/>
      <w:numFmt w:val="bullet"/>
      <w:lvlText w:val=""/>
      <w:lvlJc w:val="left"/>
      <w:pPr>
        <w:ind w:left="720" w:hanging="360"/>
      </w:pPr>
      <w:rPr>
        <w:rFonts w:ascii="Symbol" w:hAnsi="Symbol" w:hint="default"/>
      </w:rPr>
    </w:lvl>
    <w:lvl w:ilvl="1" w:tplc="32680C12">
      <w:start w:val="1"/>
      <w:numFmt w:val="bullet"/>
      <w:lvlText w:val="o"/>
      <w:lvlJc w:val="left"/>
      <w:pPr>
        <w:ind w:left="1440" w:hanging="360"/>
      </w:pPr>
      <w:rPr>
        <w:rFonts w:ascii="Courier New" w:hAnsi="Courier New" w:hint="default"/>
      </w:rPr>
    </w:lvl>
    <w:lvl w:ilvl="2" w:tplc="718A3FF4">
      <w:start w:val="1"/>
      <w:numFmt w:val="bullet"/>
      <w:lvlText w:val=""/>
      <w:lvlJc w:val="left"/>
      <w:pPr>
        <w:ind w:left="2160" w:hanging="360"/>
      </w:pPr>
      <w:rPr>
        <w:rFonts w:ascii="Wingdings" w:hAnsi="Wingdings" w:hint="default"/>
      </w:rPr>
    </w:lvl>
    <w:lvl w:ilvl="3" w:tplc="CA1A0444">
      <w:start w:val="1"/>
      <w:numFmt w:val="bullet"/>
      <w:lvlText w:val=""/>
      <w:lvlJc w:val="left"/>
      <w:pPr>
        <w:ind w:left="2880" w:hanging="360"/>
      </w:pPr>
      <w:rPr>
        <w:rFonts w:ascii="Symbol" w:hAnsi="Symbol" w:hint="default"/>
      </w:rPr>
    </w:lvl>
    <w:lvl w:ilvl="4" w:tplc="E522D152">
      <w:start w:val="1"/>
      <w:numFmt w:val="bullet"/>
      <w:lvlText w:val="o"/>
      <w:lvlJc w:val="left"/>
      <w:pPr>
        <w:ind w:left="3600" w:hanging="360"/>
      </w:pPr>
      <w:rPr>
        <w:rFonts w:ascii="Courier New" w:hAnsi="Courier New" w:hint="default"/>
      </w:rPr>
    </w:lvl>
    <w:lvl w:ilvl="5" w:tplc="D6C8425A">
      <w:start w:val="1"/>
      <w:numFmt w:val="bullet"/>
      <w:lvlText w:val=""/>
      <w:lvlJc w:val="left"/>
      <w:pPr>
        <w:ind w:left="4320" w:hanging="360"/>
      </w:pPr>
      <w:rPr>
        <w:rFonts w:ascii="Wingdings" w:hAnsi="Wingdings" w:hint="default"/>
      </w:rPr>
    </w:lvl>
    <w:lvl w:ilvl="6" w:tplc="C3901242">
      <w:start w:val="1"/>
      <w:numFmt w:val="bullet"/>
      <w:lvlText w:val=""/>
      <w:lvlJc w:val="left"/>
      <w:pPr>
        <w:ind w:left="5040" w:hanging="360"/>
      </w:pPr>
      <w:rPr>
        <w:rFonts w:ascii="Symbol" w:hAnsi="Symbol" w:hint="default"/>
      </w:rPr>
    </w:lvl>
    <w:lvl w:ilvl="7" w:tplc="F2A09C38">
      <w:start w:val="1"/>
      <w:numFmt w:val="bullet"/>
      <w:lvlText w:val="o"/>
      <w:lvlJc w:val="left"/>
      <w:pPr>
        <w:ind w:left="5760" w:hanging="360"/>
      </w:pPr>
      <w:rPr>
        <w:rFonts w:ascii="Courier New" w:hAnsi="Courier New" w:hint="default"/>
      </w:rPr>
    </w:lvl>
    <w:lvl w:ilvl="8" w:tplc="826869D4">
      <w:start w:val="1"/>
      <w:numFmt w:val="bullet"/>
      <w:lvlText w:val=""/>
      <w:lvlJc w:val="left"/>
      <w:pPr>
        <w:ind w:left="6480" w:hanging="360"/>
      </w:pPr>
      <w:rPr>
        <w:rFonts w:ascii="Wingdings" w:hAnsi="Wingdings" w:hint="default"/>
      </w:rPr>
    </w:lvl>
  </w:abstractNum>
  <w:abstractNum w:abstractNumId="7" w15:restartNumberingAfterBreak="0">
    <w:nsid w:val="7D8A6006"/>
    <w:multiLevelType w:val="hybridMultilevel"/>
    <w:tmpl w:val="3620B91A"/>
    <w:lvl w:ilvl="0" w:tplc="D1869BCA">
      <w:start w:val="1"/>
      <w:numFmt w:val="bullet"/>
      <w:lvlText w:val=""/>
      <w:lvlJc w:val="left"/>
      <w:pPr>
        <w:ind w:left="720" w:hanging="360"/>
      </w:pPr>
      <w:rPr>
        <w:rFonts w:ascii="Symbol" w:hAnsi="Symbol" w:hint="default"/>
      </w:rPr>
    </w:lvl>
    <w:lvl w:ilvl="1" w:tplc="FCD63E68">
      <w:start w:val="1"/>
      <w:numFmt w:val="bullet"/>
      <w:lvlText w:val="o"/>
      <w:lvlJc w:val="left"/>
      <w:pPr>
        <w:ind w:left="1440" w:hanging="360"/>
      </w:pPr>
      <w:rPr>
        <w:rFonts w:ascii="Courier New" w:hAnsi="Courier New" w:hint="default"/>
      </w:rPr>
    </w:lvl>
    <w:lvl w:ilvl="2" w:tplc="85BAB314">
      <w:start w:val="1"/>
      <w:numFmt w:val="bullet"/>
      <w:lvlText w:val=""/>
      <w:lvlJc w:val="left"/>
      <w:pPr>
        <w:ind w:left="2160" w:hanging="360"/>
      </w:pPr>
      <w:rPr>
        <w:rFonts w:ascii="Wingdings" w:hAnsi="Wingdings" w:hint="default"/>
      </w:rPr>
    </w:lvl>
    <w:lvl w:ilvl="3" w:tplc="9796D498">
      <w:start w:val="1"/>
      <w:numFmt w:val="bullet"/>
      <w:lvlText w:val=""/>
      <w:lvlJc w:val="left"/>
      <w:pPr>
        <w:ind w:left="2880" w:hanging="360"/>
      </w:pPr>
      <w:rPr>
        <w:rFonts w:ascii="Symbol" w:hAnsi="Symbol" w:hint="default"/>
      </w:rPr>
    </w:lvl>
    <w:lvl w:ilvl="4" w:tplc="4DFC1DD6">
      <w:start w:val="1"/>
      <w:numFmt w:val="bullet"/>
      <w:lvlText w:val="o"/>
      <w:lvlJc w:val="left"/>
      <w:pPr>
        <w:ind w:left="3600" w:hanging="360"/>
      </w:pPr>
      <w:rPr>
        <w:rFonts w:ascii="Courier New" w:hAnsi="Courier New" w:hint="default"/>
      </w:rPr>
    </w:lvl>
    <w:lvl w:ilvl="5" w:tplc="19AA020C">
      <w:start w:val="1"/>
      <w:numFmt w:val="bullet"/>
      <w:lvlText w:val=""/>
      <w:lvlJc w:val="left"/>
      <w:pPr>
        <w:ind w:left="4320" w:hanging="360"/>
      </w:pPr>
      <w:rPr>
        <w:rFonts w:ascii="Wingdings" w:hAnsi="Wingdings" w:hint="default"/>
      </w:rPr>
    </w:lvl>
    <w:lvl w:ilvl="6" w:tplc="E196ECBA">
      <w:start w:val="1"/>
      <w:numFmt w:val="bullet"/>
      <w:lvlText w:val=""/>
      <w:lvlJc w:val="left"/>
      <w:pPr>
        <w:ind w:left="5040" w:hanging="360"/>
      </w:pPr>
      <w:rPr>
        <w:rFonts w:ascii="Symbol" w:hAnsi="Symbol" w:hint="default"/>
      </w:rPr>
    </w:lvl>
    <w:lvl w:ilvl="7" w:tplc="5D88AE5C">
      <w:start w:val="1"/>
      <w:numFmt w:val="bullet"/>
      <w:lvlText w:val="o"/>
      <w:lvlJc w:val="left"/>
      <w:pPr>
        <w:ind w:left="5760" w:hanging="360"/>
      </w:pPr>
      <w:rPr>
        <w:rFonts w:ascii="Courier New" w:hAnsi="Courier New" w:hint="default"/>
      </w:rPr>
    </w:lvl>
    <w:lvl w:ilvl="8" w:tplc="AFC6DA3E">
      <w:start w:val="1"/>
      <w:numFmt w:val="bullet"/>
      <w:lvlText w:val=""/>
      <w:lvlJc w:val="left"/>
      <w:pPr>
        <w:ind w:left="6480" w:hanging="360"/>
      </w:pPr>
      <w:rPr>
        <w:rFonts w:ascii="Wingdings" w:hAnsi="Wingdings" w:hint="default"/>
      </w:rPr>
    </w:lvl>
  </w:abstractNum>
  <w:num w:numId="1" w16cid:durableId="580262959">
    <w:abstractNumId w:val="3"/>
  </w:num>
  <w:num w:numId="2" w16cid:durableId="79572911">
    <w:abstractNumId w:val="4"/>
  </w:num>
  <w:num w:numId="3" w16cid:durableId="205870365">
    <w:abstractNumId w:val="1"/>
  </w:num>
  <w:num w:numId="4" w16cid:durableId="122768730">
    <w:abstractNumId w:val="0"/>
  </w:num>
  <w:num w:numId="5" w16cid:durableId="1849517739">
    <w:abstractNumId w:val="2"/>
  </w:num>
  <w:num w:numId="6" w16cid:durableId="343367680">
    <w:abstractNumId w:val="7"/>
  </w:num>
  <w:num w:numId="7" w16cid:durableId="363099384">
    <w:abstractNumId w:val="6"/>
  </w:num>
  <w:num w:numId="8" w16cid:durableId="266817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21E95A"/>
    <w:rsid w:val="00035A65"/>
    <w:rsid w:val="00562A5A"/>
    <w:rsid w:val="007D6033"/>
    <w:rsid w:val="00970713"/>
    <w:rsid w:val="00B01BA7"/>
    <w:rsid w:val="00B57E07"/>
    <w:rsid w:val="00DC321A"/>
    <w:rsid w:val="00DE77C7"/>
    <w:rsid w:val="00F8626E"/>
    <w:rsid w:val="015E7FF9"/>
    <w:rsid w:val="02C68FA2"/>
    <w:rsid w:val="02E87373"/>
    <w:rsid w:val="02FA505A"/>
    <w:rsid w:val="038406C7"/>
    <w:rsid w:val="04626003"/>
    <w:rsid w:val="048443D4"/>
    <w:rsid w:val="0620DD83"/>
    <w:rsid w:val="0696D008"/>
    <w:rsid w:val="0A708075"/>
    <w:rsid w:val="0AEE43C4"/>
    <w:rsid w:val="0BF7E33E"/>
    <w:rsid w:val="0D69F04F"/>
    <w:rsid w:val="0EFD96BC"/>
    <w:rsid w:val="101E1BF4"/>
    <w:rsid w:val="10A19111"/>
    <w:rsid w:val="11FA62C1"/>
    <w:rsid w:val="12229375"/>
    <w:rsid w:val="1257531D"/>
    <w:rsid w:val="13B9E353"/>
    <w:rsid w:val="149DC3C9"/>
    <w:rsid w:val="1530A303"/>
    <w:rsid w:val="15542873"/>
    <w:rsid w:val="15750234"/>
    <w:rsid w:val="163EEED3"/>
    <w:rsid w:val="17297EBB"/>
    <w:rsid w:val="179A48C8"/>
    <w:rsid w:val="17A831B3"/>
    <w:rsid w:val="1846C9F0"/>
    <w:rsid w:val="188B50A5"/>
    <w:rsid w:val="18BE7FDD"/>
    <w:rsid w:val="19CE4C86"/>
    <w:rsid w:val="1A0FFC7A"/>
    <w:rsid w:val="1A21EE96"/>
    <w:rsid w:val="1A3F52F9"/>
    <w:rsid w:val="1B01BB9C"/>
    <w:rsid w:val="1BAC8420"/>
    <w:rsid w:val="1DF79830"/>
    <w:rsid w:val="1E7F5521"/>
    <w:rsid w:val="1F444221"/>
    <w:rsid w:val="207FF543"/>
    <w:rsid w:val="2167AFCF"/>
    <w:rsid w:val="2235FDC1"/>
    <w:rsid w:val="22DCFB6F"/>
    <w:rsid w:val="23F64A85"/>
    <w:rsid w:val="247F7531"/>
    <w:rsid w:val="24A89DE2"/>
    <w:rsid w:val="24FC45EA"/>
    <w:rsid w:val="255898D6"/>
    <w:rsid w:val="2571C133"/>
    <w:rsid w:val="26EF36C7"/>
    <w:rsid w:val="28818706"/>
    <w:rsid w:val="28CB7D94"/>
    <w:rsid w:val="2A26D789"/>
    <w:rsid w:val="2AD83343"/>
    <w:rsid w:val="2B86AFA9"/>
    <w:rsid w:val="2BD3370F"/>
    <w:rsid w:val="2D65AE8C"/>
    <w:rsid w:val="2FA6C9D4"/>
    <w:rsid w:val="2FF5DCD9"/>
    <w:rsid w:val="30D68F79"/>
    <w:rsid w:val="34E8CAD1"/>
    <w:rsid w:val="35698A30"/>
    <w:rsid w:val="36849B32"/>
    <w:rsid w:val="38880295"/>
    <w:rsid w:val="3930803D"/>
    <w:rsid w:val="397F8EC6"/>
    <w:rsid w:val="3A9005EB"/>
    <w:rsid w:val="3ACC509E"/>
    <w:rsid w:val="3B21E95A"/>
    <w:rsid w:val="3B75FE8B"/>
    <w:rsid w:val="400961D9"/>
    <w:rsid w:val="40118BCD"/>
    <w:rsid w:val="418C09DD"/>
    <w:rsid w:val="41AD5C2E"/>
    <w:rsid w:val="4236D261"/>
    <w:rsid w:val="4341029B"/>
    <w:rsid w:val="43492C8F"/>
    <w:rsid w:val="43631E3A"/>
    <w:rsid w:val="43D2A2C2"/>
    <w:rsid w:val="456E7323"/>
    <w:rsid w:val="456FD3E9"/>
    <w:rsid w:val="47533DF3"/>
    <w:rsid w:val="47CFED09"/>
    <w:rsid w:val="47FE0677"/>
    <w:rsid w:val="48399C5F"/>
    <w:rsid w:val="489E265F"/>
    <w:rsid w:val="49399F81"/>
    <w:rsid w:val="49B0441F"/>
    <w:rsid w:val="4C0ACBD5"/>
    <w:rsid w:val="4CD1779A"/>
    <w:rsid w:val="4CE7E4E1"/>
    <w:rsid w:val="4CF00ED5"/>
    <w:rsid w:val="4EA50793"/>
    <w:rsid w:val="4EADBE67"/>
    <w:rsid w:val="50065D46"/>
    <w:rsid w:val="51C38474"/>
    <w:rsid w:val="51F92CDD"/>
    <w:rsid w:val="542B9FD5"/>
    <w:rsid w:val="54E1BBEF"/>
    <w:rsid w:val="554DBE3F"/>
    <w:rsid w:val="565E7A3E"/>
    <w:rsid w:val="56759ECA"/>
    <w:rsid w:val="567859E0"/>
    <w:rsid w:val="580C3CBB"/>
    <w:rsid w:val="5B6A623E"/>
    <w:rsid w:val="5B9C1314"/>
    <w:rsid w:val="5CECCDD4"/>
    <w:rsid w:val="5D0E2025"/>
    <w:rsid w:val="5DD91BD1"/>
    <w:rsid w:val="5DF1CB9E"/>
    <w:rsid w:val="601F3C26"/>
    <w:rsid w:val="61BB0C87"/>
    <w:rsid w:val="61C03EF7"/>
    <w:rsid w:val="6299705B"/>
    <w:rsid w:val="62D08792"/>
    <w:rsid w:val="6301BC4A"/>
    <w:rsid w:val="64500EB9"/>
    <w:rsid w:val="64F2AD49"/>
    <w:rsid w:val="6578B719"/>
    <w:rsid w:val="65D1111D"/>
    <w:rsid w:val="65D27A4F"/>
    <w:rsid w:val="668E7DAA"/>
    <w:rsid w:val="66A48287"/>
    <w:rsid w:val="678151E7"/>
    <w:rsid w:val="68EBC044"/>
    <w:rsid w:val="6908B1DF"/>
    <w:rsid w:val="69237FDC"/>
    <w:rsid w:val="6A3898FD"/>
    <w:rsid w:val="6AA5EB72"/>
    <w:rsid w:val="6ABF503D"/>
    <w:rsid w:val="6C36DE6C"/>
    <w:rsid w:val="6E18D030"/>
    <w:rsid w:val="6E9EC1FF"/>
    <w:rsid w:val="6F5B01C8"/>
    <w:rsid w:val="712E91C1"/>
    <w:rsid w:val="71374895"/>
    <w:rsid w:val="71A6CD1D"/>
    <w:rsid w:val="72D24FA8"/>
    <w:rsid w:val="72EC4153"/>
    <w:rsid w:val="738E43DF"/>
    <w:rsid w:val="744CCDB8"/>
    <w:rsid w:val="746EE957"/>
    <w:rsid w:val="760AB9B8"/>
    <w:rsid w:val="77049B5D"/>
    <w:rsid w:val="775AFA05"/>
    <w:rsid w:val="7786724B"/>
    <w:rsid w:val="77A68A19"/>
    <w:rsid w:val="7B4F1029"/>
    <w:rsid w:val="7C3EB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E95A"/>
  <w15:chartTrackingRefBased/>
  <w15:docId w15:val="{B647FA86-2B8A-4001-A259-F47FACA0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l.ac.uk/ioe/departments-and-centres/departments/learning-and-leadership/early-career-framework" TargetMode="External"/><Relationship Id="rId5" Type="http://schemas.openxmlformats.org/officeDocument/2006/relationships/styles" Target="styles.xml"/><Relationship Id="rId10" Type="http://schemas.openxmlformats.org/officeDocument/2006/relationships/hyperlink" Target="https://www.ucl.ac.uk/human-resources/safeguarding-children-and-adults-risk-policy-and-procedure-staff-and-students"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57F8E3BCFAD4C9AB91DC735A7495E" ma:contentTypeVersion="10" ma:contentTypeDescription="Create a new document." ma:contentTypeScope="" ma:versionID="350cae6ffea077318d1ab4c8df003e2c">
  <xsd:schema xmlns:xsd="http://www.w3.org/2001/XMLSchema" xmlns:xs="http://www.w3.org/2001/XMLSchema" xmlns:p="http://schemas.microsoft.com/office/2006/metadata/properties" xmlns:ns2="742903cd-b80a-47e3-8b40-5135074bb8ee" xmlns:ns3="fb80507f-4ba1-4a69-b9dd-0eeb828851e3" targetNamespace="http://schemas.microsoft.com/office/2006/metadata/properties" ma:root="true" ma:fieldsID="7d773d4cdfad05ff3451f24bf7a5e84c" ns2:_="" ns3:_="">
    <xsd:import namespace="742903cd-b80a-47e3-8b40-5135074bb8ee"/>
    <xsd:import namespace="fb80507f-4ba1-4a69-b9dd-0eeb82885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903cd-b80a-47e3-8b40-5135074b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0507f-4ba1-4a69-b9dd-0eeb82885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37888-BF9B-4076-82D6-C6B3BCE23E29}">
  <ds:schemaRefs>
    <ds:schemaRef ds:uri="http://schemas.microsoft.com/sharepoint/v3/contenttype/forms"/>
  </ds:schemaRefs>
</ds:datastoreItem>
</file>

<file path=customXml/itemProps2.xml><?xml version="1.0" encoding="utf-8"?>
<ds:datastoreItem xmlns:ds="http://schemas.openxmlformats.org/officeDocument/2006/customXml" ds:itemID="{4D0A75BA-A33A-4EA4-9305-FC09B046C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973A61-AC8B-4F0B-BFC6-39801EE4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903cd-b80a-47e3-8b40-5135074bb8ee"/>
    <ds:schemaRef ds:uri="fb80507f-4ba1-4a69-b9dd-0eeb82885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Calladine-Evans, Stephen</dc:creator>
  <cp:keywords/>
  <dc:description/>
  <cp:lastModifiedBy>Jo Newman</cp:lastModifiedBy>
  <cp:revision>3</cp:revision>
  <dcterms:created xsi:type="dcterms:W3CDTF">2024-01-04T11:53:00Z</dcterms:created>
  <dcterms:modified xsi:type="dcterms:W3CDTF">2024-01-04T12:09:00Z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0x01010078B57F8E3BCFAD4C9AB91DC735A7495E</vt:lpwstr>
  </property>
</Properties>
</file>